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2B60" w14:textId="052AA9F5" w:rsidR="00484AB1" w:rsidRDefault="0029738D" w:rsidP="00E62CC1">
      <w:pPr>
        <w:jc w:val="center"/>
        <w:rPr>
          <w:b/>
          <w:bCs/>
        </w:rPr>
      </w:pPr>
      <w:r>
        <w:rPr>
          <w:b/>
          <w:bCs/>
        </w:rPr>
        <w:t>Новый твердый электролит Na</w:t>
      </w:r>
      <w:r w:rsidRPr="0029738D">
        <w:rPr>
          <w:b/>
          <w:bCs/>
          <w:vertAlign w:val="subscript"/>
        </w:rPr>
        <w:t>2</w:t>
      </w:r>
      <w:r>
        <w:rPr>
          <w:b/>
          <w:bCs/>
        </w:rPr>
        <w:t>Er(MoO</w:t>
      </w:r>
      <w:r w:rsidRPr="0029738D">
        <w:rPr>
          <w:b/>
          <w:bCs/>
          <w:vertAlign w:val="subscript"/>
        </w:rPr>
        <w:t>4</w:t>
      </w:r>
      <w:r>
        <w:rPr>
          <w:b/>
          <w:bCs/>
        </w:rPr>
        <w:t>)(PO</w:t>
      </w:r>
      <w:r w:rsidRPr="0029738D">
        <w:rPr>
          <w:b/>
          <w:bCs/>
          <w:vertAlign w:val="subscript"/>
        </w:rPr>
        <w:t>4</w:t>
      </w:r>
      <w:r w:rsidR="00484AB1" w:rsidRPr="00484AB1">
        <w:rPr>
          <w:b/>
          <w:bCs/>
        </w:rPr>
        <w:t>) для натрий-ионных аккумуляторов: синтез, кристаллическая структура и ионная проводимость</w:t>
      </w:r>
    </w:p>
    <w:p w14:paraId="20B86126" w14:textId="17420EA2" w:rsidR="00C61D78" w:rsidRPr="007A0B99" w:rsidRDefault="00FD0A37" w:rsidP="006A2E00">
      <w:pPr>
        <w:jc w:val="center"/>
        <w:rPr>
          <w:b/>
          <w:bCs/>
          <w:i/>
          <w:iCs/>
          <w:vertAlign w:val="superscript"/>
        </w:rPr>
      </w:pPr>
      <w:r w:rsidRPr="007A0B99">
        <w:rPr>
          <w:b/>
          <w:bCs/>
          <w:i/>
          <w:iCs/>
        </w:rPr>
        <w:t>Трухачева</w:t>
      </w:r>
      <w:r w:rsidR="00F15393" w:rsidRPr="007A0B99">
        <w:rPr>
          <w:b/>
          <w:bCs/>
          <w:i/>
          <w:iCs/>
        </w:rPr>
        <w:t xml:space="preserve"> Мария Павловна</w:t>
      </w:r>
    </w:p>
    <w:p w14:paraId="765C9FE8" w14:textId="72D082D8" w:rsidR="00FD0A37" w:rsidRDefault="00F15393" w:rsidP="00F15393">
      <w:pPr>
        <w:jc w:val="center"/>
        <w:rPr>
          <w:i/>
          <w:iCs/>
        </w:rPr>
      </w:pPr>
      <w:r w:rsidRPr="007A0B99">
        <w:rPr>
          <w:i/>
          <w:iCs/>
        </w:rPr>
        <w:t>Студент</w:t>
      </w:r>
      <w:r w:rsidR="00464C47">
        <w:rPr>
          <w:i/>
          <w:iCs/>
        </w:rPr>
        <w:t>,</w:t>
      </w:r>
      <w:r w:rsidRPr="007A0B99">
        <w:rPr>
          <w:i/>
          <w:iCs/>
        </w:rPr>
        <w:t xml:space="preserve"> </w:t>
      </w:r>
      <w:r w:rsidR="007266DA">
        <w:rPr>
          <w:i/>
          <w:iCs/>
        </w:rPr>
        <w:t>6</w:t>
      </w:r>
      <w:r w:rsidRPr="007A0B99">
        <w:rPr>
          <w:i/>
          <w:iCs/>
        </w:rPr>
        <w:t xml:space="preserve"> курс специалитета</w:t>
      </w:r>
    </w:p>
    <w:p w14:paraId="659F731C" w14:textId="2877BD31" w:rsidR="00464C47" w:rsidRPr="00464C47" w:rsidRDefault="00464C47" w:rsidP="00464C47">
      <w:pPr>
        <w:jc w:val="center"/>
        <w:rPr>
          <w:i/>
          <w:iCs/>
        </w:rPr>
      </w:pPr>
      <w:r w:rsidRPr="00464C47">
        <w:rPr>
          <w:i/>
          <w:iCs/>
        </w:rPr>
        <w:t xml:space="preserve">Московский государственный университет имени М.В.Ломоносова, </w:t>
      </w:r>
    </w:p>
    <w:p w14:paraId="69A02F8F" w14:textId="146436F4" w:rsidR="00593795" w:rsidRPr="007A0B99" w:rsidRDefault="00464C47" w:rsidP="00FB59C3">
      <w:pPr>
        <w:jc w:val="center"/>
        <w:rPr>
          <w:i/>
        </w:rPr>
      </w:pPr>
      <w:r>
        <w:rPr>
          <w:i/>
          <w:iCs/>
        </w:rPr>
        <w:t>физический</w:t>
      </w:r>
      <w:r w:rsidRPr="00464C47">
        <w:rPr>
          <w:i/>
          <w:iCs/>
        </w:rPr>
        <w:t xml:space="preserve"> факультет, Москва, Россия</w:t>
      </w:r>
    </w:p>
    <w:p w14:paraId="5FADE433" w14:textId="4CC80C66" w:rsidR="00287EFE" w:rsidRPr="00E62CC1" w:rsidRDefault="003229C3" w:rsidP="003229C3">
      <w:pPr>
        <w:jc w:val="center"/>
        <w:rPr>
          <w:i/>
        </w:rPr>
      </w:pPr>
      <w:r w:rsidRPr="003229C3">
        <w:rPr>
          <w:i/>
          <w:lang w:val="en-US"/>
        </w:rPr>
        <w:t>E</w:t>
      </w:r>
      <w:r w:rsidR="00FD0A37" w:rsidRPr="00E62CC1">
        <w:rPr>
          <w:i/>
        </w:rPr>
        <w:t>-</w:t>
      </w:r>
      <w:r w:rsidR="00FD0A37" w:rsidRPr="003229C3">
        <w:rPr>
          <w:i/>
          <w:lang w:val="en-US"/>
        </w:rPr>
        <w:t>mail</w:t>
      </w:r>
      <w:r w:rsidR="00FD0A37" w:rsidRPr="00E62CC1">
        <w:rPr>
          <w:i/>
        </w:rPr>
        <w:t xml:space="preserve">: </w:t>
      </w:r>
      <w:r w:rsidR="00FD0A37" w:rsidRPr="003229C3">
        <w:rPr>
          <w:rStyle w:val="aa"/>
          <w:i/>
          <w:color w:val="auto"/>
          <w:u w:val="none"/>
          <w:lang w:val="en-US"/>
        </w:rPr>
        <w:t>trukhacheva</w:t>
      </w:r>
      <w:r w:rsidR="00316019" w:rsidRPr="00E62CC1">
        <w:rPr>
          <w:rStyle w:val="aa"/>
          <w:i/>
          <w:color w:val="auto"/>
          <w:u w:val="none"/>
        </w:rPr>
        <w:t>.</w:t>
      </w:r>
      <w:r w:rsidR="00316019" w:rsidRPr="003229C3">
        <w:rPr>
          <w:rStyle w:val="aa"/>
          <w:i/>
          <w:color w:val="auto"/>
          <w:u w:val="none"/>
          <w:lang w:val="en-US"/>
        </w:rPr>
        <w:t>mp</w:t>
      </w:r>
      <w:r w:rsidR="00316019" w:rsidRPr="00E62CC1">
        <w:rPr>
          <w:rStyle w:val="aa"/>
          <w:i/>
          <w:color w:val="auto"/>
          <w:u w:val="none"/>
        </w:rPr>
        <w:t>20</w:t>
      </w:r>
      <w:r w:rsidR="00FD0A37" w:rsidRPr="00E62CC1">
        <w:rPr>
          <w:rStyle w:val="aa"/>
          <w:i/>
          <w:color w:val="auto"/>
          <w:u w:val="none"/>
        </w:rPr>
        <w:t>@</w:t>
      </w:r>
      <w:r w:rsidR="00746420" w:rsidRPr="003229C3">
        <w:rPr>
          <w:rStyle w:val="aa"/>
          <w:i/>
          <w:color w:val="auto"/>
          <w:u w:val="none"/>
          <w:lang w:val="en-US"/>
        </w:rPr>
        <w:t>physics</w:t>
      </w:r>
      <w:r w:rsidR="00FD0A37" w:rsidRPr="00E62CC1">
        <w:rPr>
          <w:rStyle w:val="aa"/>
          <w:i/>
          <w:color w:val="auto"/>
          <w:u w:val="none"/>
        </w:rPr>
        <w:t>.</w:t>
      </w:r>
      <w:r w:rsidR="00FD0A37" w:rsidRPr="003229C3">
        <w:rPr>
          <w:rStyle w:val="aa"/>
          <w:i/>
          <w:color w:val="auto"/>
          <w:u w:val="none"/>
          <w:lang w:val="en-US"/>
        </w:rPr>
        <w:t>msu</w:t>
      </w:r>
      <w:r w:rsidR="00FD0A37" w:rsidRPr="00E62CC1">
        <w:rPr>
          <w:rStyle w:val="aa"/>
          <w:i/>
          <w:color w:val="auto"/>
          <w:u w:val="none"/>
        </w:rPr>
        <w:t>.</w:t>
      </w:r>
      <w:r w:rsidR="00FD0A37" w:rsidRPr="003229C3">
        <w:rPr>
          <w:rStyle w:val="aa"/>
          <w:i/>
          <w:color w:val="auto"/>
          <w:u w:val="none"/>
          <w:lang w:val="en-US"/>
        </w:rPr>
        <w:t>ru</w:t>
      </w:r>
    </w:p>
    <w:p w14:paraId="36159F39" w14:textId="5917AAE5" w:rsidR="0093740A" w:rsidRDefault="003C6059" w:rsidP="00F467A1">
      <w:pPr>
        <w:pStyle w:val="AbstractText"/>
        <w:tabs>
          <w:tab w:val="left" w:pos="555"/>
          <w:tab w:val="left" w:pos="1140"/>
        </w:tabs>
        <w:spacing w:line="240" w:lineRule="auto"/>
        <w:ind w:firstLine="397"/>
        <w:rPr>
          <w:i w:val="0"/>
          <w:iCs w:val="0"/>
          <w:color w:val="auto"/>
          <w:sz w:val="24"/>
          <w:szCs w:val="24"/>
          <w:u w:val="none"/>
          <w:lang w:val="ru-RU"/>
        </w:rPr>
      </w:pP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>Развитие технологий твердотельных натрий-ионных аккумуляторов</w:t>
      </w:r>
      <w:r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требует поиска новых неорганических твердых электролитов с высокой ионной проводимостью и химической стабильностью. Полианионные оксиды привлекают внимание благодаря своему структурному разнообразию и возможности тонкой настройки транспортных свойств. Ранее соединения семейства </w:t>
      </w:r>
      <w:r w:rsidRPr="0093740A">
        <w:rPr>
          <w:i w:val="0"/>
          <w:iCs w:val="0"/>
          <w:color w:val="auto"/>
          <w:sz w:val="24"/>
          <w:szCs w:val="24"/>
          <w:u w:val="none"/>
          <w:lang w:val="ru-RU"/>
        </w:rPr>
        <w:t>Na</w:t>
      </w:r>
      <w:r w:rsidR="00B45E2A" w:rsidRPr="0093740A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2</w:t>
      </w:r>
      <w:r w:rsidRPr="0093740A">
        <w:rPr>
          <w:color w:val="auto"/>
          <w:sz w:val="24"/>
          <w:szCs w:val="24"/>
          <w:u w:val="none"/>
          <w:lang w:val="ru-RU"/>
        </w:rPr>
        <w:t>Ln</w:t>
      </w:r>
      <w:r w:rsidR="00B45E2A" w:rsidRPr="00B45E2A">
        <w:rPr>
          <w:i w:val="0"/>
          <w:iCs w:val="0"/>
          <w:color w:val="auto"/>
          <w:sz w:val="24"/>
          <w:szCs w:val="24"/>
          <w:u w:val="none"/>
          <w:lang w:val="ru-RU"/>
        </w:rPr>
        <w:t>(MoO</w:t>
      </w:r>
      <w:r w:rsidR="00B45E2A" w:rsidRPr="00B45E2A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4</w:t>
      </w:r>
      <w:r w:rsidR="00B45E2A" w:rsidRPr="00B45E2A">
        <w:rPr>
          <w:i w:val="0"/>
          <w:iCs w:val="0"/>
          <w:color w:val="auto"/>
          <w:sz w:val="24"/>
          <w:szCs w:val="24"/>
          <w:u w:val="none"/>
          <w:lang w:val="ru-RU"/>
        </w:rPr>
        <w:t>)(PO</w:t>
      </w:r>
      <w:r w:rsidR="00B45E2A" w:rsidRPr="00B45E2A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4</w:t>
      </w:r>
      <w:r w:rsidR="00B45E2A" w:rsidRPr="00B45E2A">
        <w:rPr>
          <w:i w:val="0"/>
          <w:iCs w:val="0"/>
          <w:color w:val="auto"/>
          <w:sz w:val="24"/>
          <w:szCs w:val="24"/>
          <w:u w:val="none"/>
          <w:lang w:val="ru-RU"/>
        </w:rPr>
        <w:t>)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(</w:t>
      </w:r>
      <w:r w:rsidRPr="00B45E2A">
        <w:rPr>
          <w:color w:val="auto"/>
          <w:sz w:val="24"/>
          <w:szCs w:val="24"/>
          <w:u w:val="none"/>
          <w:lang w:val="ru-RU"/>
        </w:rPr>
        <w:t>Ln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= Er, Y, Tb, Ho) были </w:t>
      </w:r>
      <w:r w:rsidR="00630E2B" w:rsidRPr="004C147D">
        <w:rPr>
          <w:i w:val="0"/>
          <w:iCs w:val="0"/>
          <w:color w:val="auto"/>
          <w:sz w:val="24"/>
          <w:szCs w:val="24"/>
          <w:u w:val="none"/>
          <w:lang w:val="ru-RU"/>
        </w:rPr>
        <w:t>теоретически</w:t>
      </w:r>
      <w:r w:rsidR="00630E2B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предсказаны как перспективные натрий-проводящие материалы с двумерной диффузией и </w:t>
      </w:r>
      <w:r w:rsidR="00D6488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низкими миграционными барьерами </w:t>
      </w:r>
      <w:r w:rsidR="00D64889" w:rsidRPr="00D64889">
        <w:rPr>
          <w:i w:val="0"/>
          <w:iCs w:val="0"/>
          <w:color w:val="auto"/>
          <w:sz w:val="24"/>
          <w:szCs w:val="24"/>
          <w:u w:val="none"/>
          <w:lang w:val="ru-RU"/>
        </w:rPr>
        <w:t>[1].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</w:t>
      </w:r>
      <w:r w:rsidR="004C147D">
        <w:rPr>
          <w:i w:val="0"/>
          <w:iCs w:val="0"/>
          <w:color w:val="auto"/>
          <w:sz w:val="24"/>
          <w:szCs w:val="24"/>
          <w:u w:val="none"/>
          <w:lang w:val="ru-RU"/>
        </w:rPr>
        <w:t>Хотя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первые представители этого ряда</w:t>
      </w:r>
      <w:r w:rsidR="00FB774B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были </w:t>
      </w:r>
      <w:r w:rsidR="00195B9F">
        <w:rPr>
          <w:i w:val="0"/>
          <w:iCs w:val="0"/>
          <w:color w:val="auto"/>
          <w:sz w:val="24"/>
          <w:szCs w:val="24"/>
          <w:u w:val="none"/>
          <w:lang w:val="ru-RU"/>
        </w:rPr>
        <w:t>получены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</w:t>
      </w:r>
      <w:r w:rsidR="00071C89">
        <w:rPr>
          <w:i w:val="0"/>
          <w:iCs w:val="0"/>
          <w:color w:val="auto"/>
          <w:sz w:val="24"/>
          <w:szCs w:val="24"/>
          <w:u w:val="none"/>
          <w:lang w:val="ru-RU"/>
        </w:rPr>
        <w:t>ранее</w:t>
      </w:r>
      <w:r w:rsidR="00D64889" w:rsidRPr="00D6488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[2]</w:t>
      </w:r>
      <w:r w:rsidR="00B45E2A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, 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>их функциональные электрохимические свойства, в частности натрий-ионная проводимость, до настоящего времени оставались неизученными. В данной работе представлено экспериментальное исследование транспорта ионов Na</w:t>
      </w:r>
      <w:r w:rsidR="00F50EB7" w:rsidRPr="00F50EB7">
        <w:rPr>
          <w:i w:val="0"/>
          <w:iCs w:val="0"/>
          <w:color w:val="auto"/>
          <w:sz w:val="24"/>
          <w:szCs w:val="24"/>
          <w:u w:val="none"/>
          <w:vertAlign w:val="superscript"/>
          <w:lang w:val="ru-RU"/>
        </w:rPr>
        <w:t>+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в слоистом молибдат-фосфате Na</w:t>
      </w:r>
      <w:r w:rsidR="0093740A" w:rsidRPr="00BF1292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2</w:t>
      </w:r>
      <w:r w:rsidRPr="003C6059">
        <w:rPr>
          <w:i w:val="0"/>
          <w:iCs w:val="0"/>
          <w:color w:val="auto"/>
          <w:sz w:val="24"/>
          <w:szCs w:val="24"/>
          <w:u w:val="none"/>
          <w:lang w:val="ru-RU"/>
        </w:rPr>
        <w:t>Er</w:t>
      </w:r>
      <w:r w:rsidR="0093740A" w:rsidRPr="0093740A">
        <w:rPr>
          <w:i w:val="0"/>
          <w:iCs w:val="0"/>
          <w:color w:val="auto"/>
          <w:sz w:val="24"/>
          <w:szCs w:val="24"/>
          <w:u w:val="none"/>
          <w:lang w:val="ru-RU"/>
        </w:rPr>
        <w:t>(MoO</w:t>
      </w:r>
      <w:r w:rsidR="0093740A" w:rsidRPr="0093740A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4</w:t>
      </w:r>
      <w:r w:rsidR="0093740A" w:rsidRPr="0093740A">
        <w:rPr>
          <w:i w:val="0"/>
          <w:iCs w:val="0"/>
          <w:color w:val="auto"/>
          <w:sz w:val="24"/>
          <w:szCs w:val="24"/>
          <w:u w:val="none"/>
          <w:lang w:val="ru-RU"/>
        </w:rPr>
        <w:t>)(PO</w:t>
      </w:r>
      <w:r w:rsidR="0093740A" w:rsidRPr="0093740A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4</w:t>
      </w:r>
      <w:r w:rsidR="0093740A" w:rsidRPr="0093740A">
        <w:rPr>
          <w:i w:val="0"/>
          <w:iCs w:val="0"/>
          <w:color w:val="auto"/>
          <w:sz w:val="24"/>
          <w:szCs w:val="24"/>
          <w:u w:val="none"/>
          <w:lang w:val="ru-RU"/>
        </w:rPr>
        <w:t>)</w:t>
      </w:r>
      <w:r w:rsidR="00650DC3">
        <w:rPr>
          <w:i w:val="0"/>
          <w:iCs w:val="0"/>
          <w:color w:val="auto"/>
          <w:sz w:val="24"/>
          <w:szCs w:val="24"/>
          <w:u w:val="none"/>
          <w:lang w:val="ru-RU"/>
        </w:rPr>
        <w:t>.</w:t>
      </w:r>
    </w:p>
    <w:p w14:paraId="48EBECF6" w14:textId="59295D2B" w:rsidR="005033EF" w:rsidRDefault="0047755F" w:rsidP="00F467A1">
      <w:pPr>
        <w:pStyle w:val="AbstractText"/>
        <w:tabs>
          <w:tab w:val="left" w:pos="555"/>
          <w:tab w:val="left" w:pos="1140"/>
        </w:tabs>
        <w:spacing w:line="240" w:lineRule="auto"/>
        <w:ind w:firstLine="397"/>
        <w:rPr>
          <w:i w:val="0"/>
          <w:iCs w:val="0"/>
          <w:color w:val="auto"/>
          <w:sz w:val="24"/>
          <w:szCs w:val="24"/>
          <w:u w:val="none"/>
          <w:lang w:val="ru-RU"/>
        </w:rPr>
      </w:pPr>
      <w:r>
        <w:rPr>
          <w:i w:val="0"/>
          <w:iCs w:val="0"/>
          <w:color w:val="auto"/>
          <w:sz w:val="24"/>
          <w:szCs w:val="24"/>
          <w:u w:val="none"/>
          <w:lang w:val="ru-RU"/>
        </w:rPr>
        <w:t>Поликристаллический</w:t>
      </w:r>
      <w:r w:rsidR="003F06FF" w:rsidRPr="003F06FF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образец </w:t>
      </w:r>
      <w:r w:rsidR="00982B93" w:rsidRPr="00982B93">
        <w:rPr>
          <w:i w:val="0"/>
          <w:iCs w:val="0"/>
          <w:color w:val="auto"/>
          <w:sz w:val="24"/>
          <w:szCs w:val="24"/>
          <w:u w:val="none"/>
          <w:lang w:val="ru-RU"/>
        </w:rPr>
        <w:t>Na</w:t>
      </w:r>
      <w:r w:rsidR="00982B93" w:rsidRPr="00982B93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2</w:t>
      </w:r>
      <w:r w:rsidR="00982B93" w:rsidRPr="00982B93">
        <w:rPr>
          <w:i w:val="0"/>
          <w:iCs w:val="0"/>
          <w:color w:val="auto"/>
          <w:sz w:val="24"/>
          <w:szCs w:val="24"/>
          <w:u w:val="none"/>
          <w:lang w:val="ru-RU"/>
        </w:rPr>
        <w:t>Er(MoO</w:t>
      </w:r>
      <w:r w:rsidR="00982B93" w:rsidRPr="00982B93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4</w:t>
      </w:r>
      <w:r w:rsidR="00982B93" w:rsidRPr="00982B93">
        <w:rPr>
          <w:i w:val="0"/>
          <w:iCs w:val="0"/>
          <w:color w:val="auto"/>
          <w:sz w:val="24"/>
          <w:szCs w:val="24"/>
          <w:u w:val="none"/>
          <w:lang w:val="ru-RU"/>
        </w:rPr>
        <w:t>)(PO</w:t>
      </w:r>
      <w:r w:rsidR="00982B93" w:rsidRPr="00982B93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4</w:t>
      </w:r>
      <w:r w:rsidR="00982B93" w:rsidRPr="00982B93">
        <w:rPr>
          <w:i w:val="0"/>
          <w:iCs w:val="0"/>
          <w:color w:val="auto"/>
          <w:sz w:val="24"/>
          <w:szCs w:val="24"/>
          <w:u w:val="none"/>
          <w:lang w:val="ru-RU"/>
        </w:rPr>
        <w:t>)</w:t>
      </w:r>
      <w:r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был</w:t>
      </w:r>
      <w:r w:rsidR="00982B93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</w:t>
      </w:r>
      <w:r w:rsidR="003F06FF" w:rsidRPr="003F06FF">
        <w:rPr>
          <w:i w:val="0"/>
          <w:iCs w:val="0"/>
          <w:color w:val="auto"/>
          <w:sz w:val="24"/>
          <w:szCs w:val="24"/>
          <w:u w:val="none"/>
          <w:lang w:val="ru-RU"/>
        </w:rPr>
        <w:t>синтезирован твердофазным методом из оксида эрбия, дигидрофосфата аммония и молибдата натрия с температурой отжига 600°C. Фазовый состав и кристаллическая структура подтверждены методом рентгеновской дифракции (РФА) и уточнены методом Ритвельда. Высокотемпературн</w:t>
      </w:r>
      <w:r w:rsidR="003F06FF">
        <w:rPr>
          <w:i w:val="0"/>
          <w:iCs w:val="0"/>
          <w:color w:val="auto"/>
          <w:sz w:val="24"/>
          <w:szCs w:val="24"/>
          <w:u w:val="none"/>
          <w:lang w:val="ru-RU"/>
        </w:rPr>
        <w:t>ый</w:t>
      </w:r>
      <w:r w:rsidR="003F06FF" w:rsidRPr="003F06FF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РФА проведен в интервале </w:t>
      </w:r>
      <w:r w:rsidR="005033EF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температур </w:t>
      </w:r>
      <w:r w:rsidR="000B3DC2">
        <w:rPr>
          <w:i w:val="0"/>
          <w:iCs w:val="0"/>
          <w:color w:val="auto"/>
          <w:sz w:val="24"/>
          <w:szCs w:val="24"/>
          <w:u w:val="none"/>
          <w:lang w:val="ru-RU"/>
        </w:rPr>
        <w:t>25-</w:t>
      </w:r>
      <w:r w:rsidR="003F06FF" w:rsidRPr="003F06FF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550°C для изучения структурных изменений. </w:t>
      </w:r>
      <w:r w:rsidR="00542257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Термическая и фазовая стабильность образца охарактеризована методом синхронного термического анализа. </w:t>
      </w:r>
      <w:r w:rsidR="00630E2B">
        <w:rPr>
          <w:i w:val="0"/>
          <w:iCs w:val="0"/>
          <w:color w:val="auto"/>
          <w:sz w:val="24"/>
          <w:szCs w:val="24"/>
          <w:u w:val="none"/>
          <w:lang w:val="ru-RU"/>
        </w:rPr>
        <w:t>П</w:t>
      </w:r>
      <w:r w:rsidR="003F06FF" w:rsidRPr="003F06FF">
        <w:rPr>
          <w:i w:val="0"/>
          <w:iCs w:val="0"/>
          <w:color w:val="auto"/>
          <w:sz w:val="24"/>
          <w:szCs w:val="24"/>
          <w:u w:val="none"/>
          <w:lang w:val="ru-RU"/>
        </w:rPr>
        <w:t>роводимость исследована методом импедансной спектрос</w:t>
      </w:r>
      <w:r w:rsidR="00F36B77">
        <w:rPr>
          <w:i w:val="0"/>
          <w:iCs w:val="0"/>
          <w:color w:val="auto"/>
          <w:sz w:val="24"/>
          <w:szCs w:val="24"/>
          <w:u w:val="none"/>
          <w:lang w:val="ru-RU"/>
        </w:rPr>
        <w:t>копии в диапазоне температур 25-</w:t>
      </w:r>
      <w:bookmarkStart w:id="0" w:name="_GoBack"/>
      <w:bookmarkEnd w:id="0"/>
      <w:r w:rsidR="003F06FF" w:rsidRPr="003F06FF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700°C с использованием платиновых и золотых электродов. Для кинетической стабилизации высокопроводящего состояния при комнатной температуре образцы </w:t>
      </w:r>
      <w:r w:rsidR="004953CC">
        <w:rPr>
          <w:i w:val="0"/>
          <w:iCs w:val="0"/>
          <w:color w:val="auto"/>
          <w:sz w:val="24"/>
          <w:szCs w:val="24"/>
          <w:u w:val="none"/>
          <w:lang w:val="ru-RU"/>
        </w:rPr>
        <w:t>закаляли</w:t>
      </w:r>
      <w:r w:rsidR="003F06FF" w:rsidRPr="003F06FF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в жидком азоте, на медном блоке и в воде.</w:t>
      </w:r>
    </w:p>
    <w:p w14:paraId="5B892572" w14:textId="259A8184" w:rsidR="002A5E9B" w:rsidRPr="0032060D" w:rsidRDefault="00460BA6" w:rsidP="0032060D">
      <w:pPr>
        <w:pStyle w:val="AbstractText"/>
        <w:tabs>
          <w:tab w:val="left" w:pos="555"/>
          <w:tab w:val="left" w:pos="1140"/>
        </w:tabs>
        <w:spacing w:line="240" w:lineRule="auto"/>
        <w:ind w:firstLine="397"/>
        <w:rPr>
          <w:i w:val="0"/>
          <w:iCs w:val="0"/>
          <w:color w:val="auto"/>
          <w:sz w:val="24"/>
          <w:szCs w:val="24"/>
          <w:u w:val="none"/>
          <w:lang w:val="ru-RU"/>
        </w:rPr>
      </w:pPr>
      <w:r>
        <w:rPr>
          <w:i w:val="0"/>
          <w:iCs w:val="0"/>
          <w:color w:val="auto"/>
          <w:sz w:val="24"/>
          <w:szCs w:val="24"/>
          <w:u w:val="none"/>
          <w:lang w:val="ru-RU"/>
        </w:rPr>
        <w:t>Успешно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синтезированный керамический образец Na</w:t>
      </w:r>
      <w:r w:rsidR="0087466D" w:rsidRPr="00BD49B9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2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>Er(MoO</w:t>
      </w:r>
      <w:r w:rsidR="00BD49B9" w:rsidRPr="00BD49B9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4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>)(PO</w:t>
      </w:r>
      <w:r w:rsidR="00BD49B9" w:rsidRPr="00BD49B9">
        <w:rPr>
          <w:i w:val="0"/>
          <w:iCs w:val="0"/>
          <w:color w:val="auto"/>
          <w:sz w:val="24"/>
          <w:szCs w:val="24"/>
          <w:u w:val="none"/>
          <w:vertAlign w:val="subscript"/>
          <w:lang w:val="ru-RU"/>
        </w:rPr>
        <w:t>4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>) продемонстрировал при комнатной темп</w:t>
      </w:r>
      <w:r w:rsidR="0029738D">
        <w:rPr>
          <w:i w:val="0"/>
          <w:iCs w:val="0"/>
          <w:color w:val="auto"/>
          <w:sz w:val="24"/>
          <w:szCs w:val="24"/>
          <w:u w:val="none"/>
          <w:lang w:val="ru-RU"/>
        </w:rPr>
        <w:t>ературе общую проводимость ~5.9*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>10</w:t>
      </w:r>
      <w:r w:rsidR="00BD49B9" w:rsidRPr="00BD49B9">
        <w:rPr>
          <w:i w:val="0"/>
          <w:iCs w:val="0"/>
          <w:color w:val="auto"/>
          <w:sz w:val="24"/>
          <w:szCs w:val="24"/>
          <w:u w:val="none"/>
          <w:vertAlign w:val="superscript"/>
          <w:lang w:val="ru-RU"/>
        </w:rPr>
        <w:t>-8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См/см и объемную проводимость ~4.4</w:t>
      </w:r>
      <w:r w:rsidR="0029738D">
        <w:rPr>
          <w:i w:val="0"/>
          <w:iCs w:val="0"/>
          <w:color w:val="auto"/>
          <w:sz w:val="24"/>
          <w:szCs w:val="24"/>
          <w:u w:val="none"/>
          <w:lang w:val="ru-RU"/>
        </w:rPr>
        <w:t>*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>10</w:t>
      </w:r>
      <w:r w:rsidR="00BD49B9" w:rsidRPr="00BD49B9">
        <w:rPr>
          <w:i w:val="0"/>
          <w:iCs w:val="0"/>
          <w:color w:val="auto"/>
          <w:sz w:val="24"/>
          <w:szCs w:val="24"/>
          <w:u w:val="none"/>
          <w:vertAlign w:val="superscript"/>
          <w:lang w:val="ru-RU"/>
        </w:rPr>
        <w:t>-</w:t>
      </w:r>
      <w:r w:rsidR="00BD49B9">
        <w:rPr>
          <w:i w:val="0"/>
          <w:iCs w:val="0"/>
          <w:color w:val="auto"/>
          <w:sz w:val="24"/>
          <w:szCs w:val="24"/>
          <w:u w:val="none"/>
          <w:vertAlign w:val="superscript"/>
          <w:lang w:val="ru-RU"/>
        </w:rPr>
        <w:t>7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См/см. Ключевым результатом является обнаружение при ~500°C обратимого фазового перехода типа «порядок-</w:t>
      </w:r>
      <w:r w:rsidR="001B3D71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беспорядок» в </w:t>
      </w:r>
      <w:r w:rsidR="00195B9F">
        <w:rPr>
          <w:i w:val="0"/>
          <w:iCs w:val="0"/>
          <w:color w:val="auto"/>
          <w:sz w:val="24"/>
          <w:szCs w:val="24"/>
          <w:u w:val="none"/>
        </w:rPr>
        <w:t>Na</w:t>
      </w:r>
      <w:r w:rsidR="00195B9F" w:rsidRPr="00195B9F">
        <w:rPr>
          <w:i w:val="0"/>
          <w:iCs w:val="0"/>
          <w:color w:val="auto"/>
          <w:sz w:val="24"/>
          <w:szCs w:val="24"/>
          <w:u w:val="none"/>
          <w:lang w:val="ru-RU"/>
        </w:rPr>
        <w:t>-</w:t>
      </w:r>
      <w:r w:rsidR="001B3D71">
        <w:rPr>
          <w:i w:val="0"/>
          <w:iCs w:val="0"/>
          <w:color w:val="auto"/>
          <w:sz w:val="24"/>
          <w:szCs w:val="24"/>
          <w:u w:val="none"/>
          <w:lang w:val="ru-RU"/>
        </w:rPr>
        <w:t>подрешетке.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</w:t>
      </w:r>
      <w:r w:rsidR="001B3D71" w:rsidRPr="001B3D71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Переход сопровождается увеличением проводимости на шесть порядков 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>(до ~10</w:t>
      </w:r>
      <w:r w:rsidR="0085686B" w:rsidRPr="0085686B">
        <w:rPr>
          <w:i w:val="0"/>
          <w:iCs w:val="0"/>
          <w:color w:val="auto"/>
          <w:sz w:val="24"/>
          <w:szCs w:val="24"/>
          <w:u w:val="none"/>
          <w:vertAlign w:val="superscript"/>
          <w:lang w:val="ru-RU"/>
        </w:rPr>
        <w:t>-2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См/см при 520°C) при сохранении структуры и близких зн</w:t>
      </w:r>
      <w:r w:rsidR="000B3DC2">
        <w:rPr>
          <w:i w:val="0"/>
          <w:iCs w:val="0"/>
          <w:color w:val="auto"/>
          <w:sz w:val="24"/>
          <w:szCs w:val="24"/>
          <w:u w:val="none"/>
          <w:lang w:val="ru-RU"/>
        </w:rPr>
        <w:t>ачениях энергии активации (0.51-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0.52 эВ) по обе стороны перехода. Закалка образца от 650°C в жидком азоте позволила частично зафиксировать высокотемпературное разупорядоченное состояние, </w:t>
      </w:r>
      <w:r w:rsidR="001B3D71">
        <w:rPr>
          <w:i w:val="0"/>
          <w:iCs w:val="0"/>
          <w:color w:val="auto"/>
          <w:sz w:val="24"/>
          <w:szCs w:val="24"/>
          <w:u w:val="none"/>
          <w:lang w:val="ru-RU"/>
        </w:rPr>
        <w:t>что привело к повышению объемной проводимости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при комнатной температуре до 9.2</w:t>
      </w:r>
      <w:r w:rsidR="000B3DC2">
        <w:rPr>
          <w:i w:val="0"/>
          <w:iCs w:val="0"/>
          <w:color w:val="auto"/>
          <w:sz w:val="24"/>
          <w:szCs w:val="24"/>
          <w:u w:val="none"/>
          <w:lang w:val="ru-RU"/>
        </w:rPr>
        <w:t>*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>10</w:t>
      </w:r>
      <w:r w:rsidR="0085686B" w:rsidRPr="0085686B">
        <w:rPr>
          <w:i w:val="0"/>
          <w:iCs w:val="0"/>
          <w:color w:val="auto"/>
          <w:sz w:val="24"/>
          <w:szCs w:val="24"/>
          <w:u w:val="none"/>
          <w:vertAlign w:val="superscript"/>
          <w:lang w:val="ru-RU"/>
        </w:rPr>
        <w:t>-7</w:t>
      </w:r>
      <w:r w:rsidR="000B3DC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См/см (прирост +</w:t>
      </w:r>
      <w:r w:rsidR="001B3D71">
        <w:rPr>
          <w:i w:val="0"/>
          <w:iCs w:val="0"/>
          <w:color w:val="auto"/>
          <w:sz w:val="24"/>
          <w:szCs w:val="24"/>
          <w:u w:val="none"/>
          <w:lang w:val="ru-RU"/>
        </w:rPr>
        <w:t>97%),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что является прямым экспериментальным подтверждением возможности кинетического контроля свойств. Полученные результаты не только впервые экспериментально </w:t>
      </w:r>
      <w:r w:rsidR="00BB510B">
        <w:rPr>
          <w:i w:val="0"/>
          <w:iCs w:val="0"/>
          <w:color w:val="auto"/>
          <w:sz w:val="24"/>
          <w:szCs w:val="24"/>
          <w:u w:val="none"/>
          <w:lang w:val="ru-RU"/>
        </w:rPr>
        <w:t>подтверждают</w:t>
      </w:r>
      <w:r w:rsidR="00F528D2" w:rsidRPr="00F528D2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теоретические предсказания высокой натрий-ионной проводимости в данном семействе соединений, но и открывают путь к их дальнейшей оптимизации методами гетеровалентного допирования для достижения суперионных характеристик при комнатной температуре</w:t>
      </w:r>
      <w:r w:rsidR="001D416B">
        <w:rPr>
          <w:i w:val="0"/>
          <w:iCs w:val="0"/>
          <w:color w:val="auto"/>
          <w:sz w:val="24"/>
          <w:szCs w:val="24"/>
          <w:u w:val="none"/>
          <w:lang w:val="ru-RU"/>
        </w:rPr>
        <w:t>,</w:t>
      </w:r>
      <w:r w:rsidR="001D416B" w:rsidRPr="001D416B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 необходимых для практического применения в энергоемких и безопасных системах хранения энергии.</w:t>
      </w:r>
    </w:p>
    <w:p w14:paraId="7FAA09B8" w14:textId="77777777" w:rsidR="00464C47" w:rsidRPr="00D64889" w:rsidRDefault="00464C47" w:rsidP="00464C47">
      <w:pPr>
        <w:pStyle w:val="af1"/>
        <w:shd w:val="clear" w:color="auto" w:fill="FFFFFF"/>
        <w:ind w:left="0"/>
        <w:jc w:val="center"/>
        <w:rPr>
          <w:color w:val="000000"/>
          <w:lang w:val="en-US"/>
        </w:rPr>
      </w:pPr>
      <w:r w:rsidRPr="00464C47">
        <w:rPr>
          <w:b/>
          <w:color w:val="000000"/>
        </w:rPr>
        <w:t>Литература</w:t>
      </w:r>
    </w:p>
    <w:p w14:paraId="70CD150B" w14:textId="42A736D9" w:rsidR="000F7E9B" w:rsidRPr="00FB774B" w:rsidRDefault="00F467A1" w:rsidP="00F467A1">
      <w:pPr>
        <w:pStyle w:val="AbstractText"/>
        <w:tabs>
          <w:tab w:val="clear" w:pos="709"/>
        </w:tabs>
        <w:suppressAutoHyphens w:val="0"/>
        <w:spacing w:line="240" w:lineRule="auto"/>
        <w:rPr>
          <w:i w:val="0"/>
          <w:iCs w:val="0"/>
          <w:color w:val="auto"/>
          <w:sz w:val="24"/>
          <w:szCs w:val="24"/>
          <w:u w:val="none"/>
          <w:lang w:val="ru-RU"/>
        </w:rPr>
      </w:pPr>
      <w:r>
        <w:rPr>
          <w:i w:val="0"/>
          <w:iCs w:val="0"/>
          <w:color w:val="auto"/>
          <w:sz w:val="24"/>
          <w:szCs w:val="24"/>
          <w:u w:val="none"/>
        </w:rPr>
        <w:t xml:space="preserve">1. </w:t>
      </w:r>
      <w:r w:rsidR="00AD4E71" w:rsidRPr="00AD4E71">
        <w:rPr>
          <w:i w:val="0"/>
          <w:iCs w:val="0"/>
          <w:color w:val="auto"/>
          <w:sz w:val="24"/>
          <w:szCs w:val="24"/>
          <w:u w:val="none"/>
        </w:rPr>
        <w:t xml:space="preserve">Morkhova Y.A., Antonyuk A.V., Naugolnova I.A. High-throughput search for new solid-state sodium-conducting materials among polyanionic oxides // J. Solid State Electrochem. </w:t>
      </w:r>
      <w:r w:rsidR="00AD4E71" w:rsidRPr="00FB774B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2024. </w:t>
      </w:r>
      <w:r w:rsidR="00AD4E71" w:rsidRPr="00AD4E71">
        <w:rPr>
          <w:i w:val="0"/>
          <w:iCs w:val="0"/>
          <w:color w:val="auto"/>
          <w:sz w:val="24"/>
          <w:szCs w:val="24"/>
          <w:u w:val="none"/>
        </w:rPr>
        <w:t>Vol</w:t>
      </w:r>
      <w:r w:rsidR="00AD4E71" w:rsidRPr="00FB774B">
        <w:rPr>
          <w:i w:val="0"/>
          <w:iCs w:val="0"/>
          <w:color w:val="auto"/>
          <w:sz w:val="24"/>
          <w:szCs w:val="24"/>
          <w:u w:val="none"/>
          <w:lang w:val="ru-RU"/>
        </w:rPr>
        <w:t xml:space="preserve">. 28. </w:t>
      </w:r>
      <w:r w:rsidR="00AD4E71" w:rsidRPr="00AD4E71">
        <w:rPr>
          <w:i w:val="0"/>
          <w:iCs w:val="0"/>
          <w:color w:val="auto"/>
          <w:sz w:val="24"/>
          <w:szCs w:val="24"/>
          <w:u w:val="none"/>
        </w:rPr>
        <w:t>P</w:t>
      </w:r>
      <w:r w:rsidR="00AD4E71" w:rsidRPr="00FB774B">
        <w:rPr>
          <w:i w:val="0"/>
          <w:iCs w:val="0"/>
          <w:color w:val="auto"/>
          <w:sz w:val="24"/>
          <w:szCs w:val="24"/>
          <w:u w:val="none"/>
          <w:lang w:val="ru-RU"/>
        </w:rPr>
        <w:t>. 3665-3671.</w:t>
      </w:r>
    </w:p>
    <w:p w14:paraId="119325F3" w14:textId="0418E7F9" w:rsidR="00F467A1" w:rsidRPr="009B5D60" w:rsidRDefault="00F467A1" w:rsidP="00F467A1">
      <w:pPr>
        <w:pStyle w:val="AbstractText"/>
        <w:tabs>
          <w:tab w:val="clear" w:pos="709"/>
        </w:tabs>
        <w:suppressAutoHyphens w:val="0"/>
        <w:spacing w:line="240" w:lineRule="auto"/>
        <w:rPr>
          <w:sz w:val="24"/>
          <w:szCs w:val="24"/>
        </w:rPr>
      </w:pPr>
      <w:r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2.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Рюмин М. А., Комиссарова Л. Н., Русаков Д. А. и др. Синтез и кристаллическая структура новых сложных молибдат-фосфатов натрия и РЗЭ состава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Na</w:t>
      </w:r>
      <w:r w:rsidR="00FB774B" w:rsidRPr="000B3DC2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vertAlign w:val="subscript"/>
          <w:lang w:val="ru-RU" w:eastAsia="ru-RU"/>
        </w:rPr>
        <w:t>2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M</w:t>
      </w:r>
      <w:r w:rsidR="00FB774B" w:rsidRPr="000B3DC2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eastAsia="ru-RU"/>
        </w:rPr>
        <w:t>III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>(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MoO</w:t>
      </w:r>
      <w:r w:rsidR="00FB774B" w:rsidRPr="000B3DC2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vertAlign w:val="subscript"/>
          <w:lang w:val="ru-RU" w:eastAsia="ru-RU"/>
        </w:rPr>
        <w:t>4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>)(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PO</w:t>
      </w:r>
      <w:r w:rsidR="00FB774B" w:rsidRPr="000B3DC2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vertAlign w:val="subscript"/>
          <w:lang w:val="ru-RU" w:eastAsia="ru-RU"/>
        </w:rPr>
        <w:t>4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>) (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M</w:t>
      </w:r>
      <w:r w:rsidR="00FB774B" w:rsidRPr="000B3DC2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eastAsia="ru-RU"/>
        </w:rPr>
        <w:t>III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 =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Tb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,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Dy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,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Ho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,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Er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,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Tm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,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Lu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) // Журнал неорганической химии. </w:t>
      </w:r>
      <w:r w:rsidR="00FB774B" w:rsidRPr="0047755F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val="ru-RU" w:eastAsia="ru-RU"/>
        </w:rPr>
        <w:t xml:space="preserve">2007. </w:t>
      </w:r>
      <w:r w:rsidR="00FB774B" w:rsidRPr="00FB774B">
        <w:rPr>
          <w:rFonts w:eastAsia="Times New Roman"/>
          <w:i w:val="0"/>
          <w:iCs w:val="0"/>
          <w:color w:val="000000"/>
          <w:kern w:val="0"/>
          <w:sz w:val="24"/>
          <w:szCs w:val="24"/>
          <w:u w:val="none"/>
          <w:lang w:eastAsia="ru-RU"/>
        </w:rPr>
        <w:t>Т. 52. № 5. С. 720–728.</w:t>
      </w:r>
    </w:p>
    <w:sectPr w:rsidR="00F467A1" w:rsidRPr="009B5D60" w:rsidSect="00C116D9">
      <w:pgSz w:w="11907" w:h="16839" w:code="9"/>
      <w:pgMar w:top="1134" w:right="1361" w:bottom="1259" w:left="136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E9358" w14:textId="77777777" w:rsidR="005927BA" w:rsidRDefault="005927BA">
      <w:r>
        <w:separator/>
      </w:r>
    </w:p>
  </w:endnote>
  <w:endnote w:type="continuationSeparator" w:id="0">
    <w:p w14:paraId="5849C721" w14:textId="77777777" w:rsidR="005927BA" w:rsidRDefault="0059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B081A" w14:textId="77777777" w:rsidR="005927BA" w:rsidRDefault="005927BA">
      <w:r>
        <w:separator/>
      </w:r>
    </w:p>
  </w:footnote>
  <w:footnote w:type="continuationSeparator" w:id="0">
    <w:p w14:paraId="35733A62" w14:textId="77777777" w:rsidR="005927BA" w:rsidRDefault="0059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CCF"/>
    <w:multiLevelType w:val="hybridMultilevel"/>
    <w:tmpl w:val="D9A4FA5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 w15:restartNumberingAfterBreak="0">
    <w:nsid w:val="1B79269F"/>
    <w:multiLevelType w:val="hybridMultilevel"/>
    <w:tmpl w:val="CDC0D5D6"/>
    <w:lvl w:ilvl="0" w:tplc="AB16D58E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1B0F"/>
    <w:multiLevelType w:val="hybridMultilevel"/>
    <w:tmpl w:val="8C8658B6"/>
    <w:lvl w:ilvl="0" w:tplc="C64E1E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314937"/>
    <w:multiLevelType w:val="hybridMultilevel"/>
    <w:tmpl w:val="F8626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46691C"/>
    <w:multiLevelType w:val="hybridMultilevel"/>
    <w:tmpl w:val="556A4C60"/>
    <w:name w:val="WW8Num22"/>
    <w:lvl w:ilvl="0" w:tplc="D8D887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F6D61"/>
    <w:multiLevelType w:val="hybridMultilevel"/>
    <w:tmpl w:val="156876C8"/>
    <w:lvl w:ilvl="0" w:tplc="77208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4373E"/>
    <w:multiLevelType w:val="hybridMultilevel"/>
    <w:tmpl w:val="31028360"/>
    <w:lvl w:ilvl="0" w:tplc="1D70AF50">
      <w:start w:val="1"/>
      <w:numFmt w:val="decimal"/>
      <w:pStyle w:val="AbstractBookreferenc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2E312F2"/>
    <w:multiLevelType w:val="multilevel"/>
    <w:tmpl w:val="07A0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A5850"/>
    <w:multiLevelType w:val="hybridMultilevel"/>
    <w:tmpl w:val="FC62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A3A9E"/>
    <w:multiLevelType w:val="hybridMultilevel"/>
    <w:tmpl w:val="04CC6BE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6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6"/>
    <w:lvlOverride w:ilvl="0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A6"/>
    <w:rsid w:val="00020912"/>
    <w:rsid w:val="00021B87"/>
    <w:rsid w:val="000347D7"/>
    <w:rsid w:val="000366CF"/>
    <w:rsid w:val="00037CE2"/>
    <w:rsid w:val="00052631"/>
    <w:rsid w:val="0006303F"/>
    <w:rsid w:val="00071C89"/>
    <w:rsid w:val="0007666E"/>
    <w:rsid w:val="00081CD2"/>
    <w:rsid w:val="00093F70"/>
    <w:rsid w:val="000977E5"/>
    <w:rsid w:val="000A4138"/>
    <w:rsid w:val="000A6640"/>
    <w:rsid w:val="000B3DC2"/>
    <w:rsid w:val="000B541C"/>
    <w:rsid w:val="000C0D07"/>
    <w:rsid w:val="000C20A9"/>
    <w:rsid w:val="000D08E5"/>
    <w:rsid w:val="000D4584"/>
    <w:rsid w:val="000E1657"/>
    <w:rsid w:val="000E2F2D"/>
    <w:rsid w:val="000F0636"/>
    <w:rsid w:val="000F7E9B"/>
    <w:rsid w:val="001128E3"/>
    <w:rsid w:val="001266DE"/>
    <w:rsid w:val="00155366"/>
    <w:rsid w:val="00157324"/>
    <w:rsid w:val="00160775"/>
    <w:rsid w:val="0018150F"/>
    <w:rsid w:val="00195B9F"/>
    <w:rsid w:val="001B3615"/>
    <w:rsid w:val="001B3D71"/>
    <w:rsid w:val="001B3FB1"/>
    <w:rsid w:val="001D416B"/>
    <w:rsid w:val="001F1D35"/>
    <w:rsid w:val="001F207E"/>
    <w:rsid w:val="002035A0"/>
    <w:rsid w:val="0021234A"/>
    <w:rsid w:val="00234340"/>
    <w:rsid w:val="00235649"/>
    <w:rsid w:val="00237786"/>
    <w:rsid w:val="0024033A"/>
    <w:rsid w:val="0024768E"/>
    <w:rsid w:val="002753B3"/>
    <w:rsid w:val="00283FA6"/>
    <w:rsid w:val="00287EFE"/>
    <w:rsid w:val="00294DB5"/>
    <w:rsid w:val="0029738D"/>
    <w:rsid w:val="002A5E9B"/>
    <w:rsid w:val="002B1B9F"/>
    <w:rsid w:val="002B51E7"/>
    <w:rsid w:val="002C4BF9"/>
    <w:rsid w:val="002D1D3D"/>
    <w:rsid w:val="002D66B4"/>
    <w:rsid w:val="002D671B"/>
    <w:rsid w:val="002D6736"/>
    <w:rsid w:val="002D748D"/>
    <w:rsid w:val="002E1AF4"/>
    <w:rsid w:val="002E6577"/>
    <w:rsid w:val="002E6D84"/>
    <w:rsid w:val="002F7600"/>
    <w:rsid w:val="00302ABB"/>
    <w:rsid w:val="0031375D"/>
    <w:rsid w:val="00314832"/>
    <w:rsid w:val="00316019"/>
    <w:rsid w:val="0032060D"/>
    <w:rsid w:val="003229C3"/>
    <w:rsid w:val="00327D22"/>
    <w:rsid w:val="003312A3"/>
    <w:rsid w:val="00337921"/>
    <w:rsid w:val="0035501C"/>
    <w:rsid w:val="003A416A"/>
    <w:rsid w:val="003B4319"/>
    <w:rsid w:val="003B4781"/>
    <w:rsid w:val="003C2F05"/>
    <w:rsid w:val="003C6059"/>
    <w:rsid w:val="003F06FF"/>
    <w:rsid w:val="003F3AE4"/>
    <w:rsid w:val="004008F1"/>
    <w:rsid w:val="004029F8"/>
    <w:rsid w:val="0040524F"/>
    <w:rsid w:val="004105DE"/>
    <w:rsid w:val="00415229"/>
    <w:rsid w:val="00415D1F"/>
    <w:rsid w:val="00422320"/>
    <w:rsid w:val="0042321C"/>
    <w:rsid w:val="00425D6D"/>
    <w:rsid w:val="004278A8"/>
    <w:rsid w:val="0043672E"/>
    <w:rsid w:val="00460BA6"/>
    <w:rsid w:val="00461B02"/>
    <w:rsid w:val="00464C47"/>
    <w:rsid w:val="004721E4"/>
    <w:rsid w:val="0047755F"/>
    <w:rsid w:val="00483837"/>
    <w:rsid w:val="00484AB1"/>
    <w:rsid w:val="004953CC"/>
    <w:rsid w:val="004A6696"/>
    <w:rsid w:val="004A69E7"/>
    <w:rsid w:val="004C1372"/>
    <w:rsid w:val="004C147D"/>
    <w:rsid w:val="004D0FF6"/>
    <w:rsid w:val="004E0416"/>
    <w:rsid w:val="004E1F7D"/>
    <w:rsid w:val="00500215"/>
    <w:rsid w:val="005033EF"/>
    <w:rsid w:val="00515826"/>
    <w:rsid w:val="00522932"/>
    <w:rsid w:val="0052757F"/>
    <w:rsid w:val="005313EB"/>
    <w:rsid w:val="00542257"/>
    <w:rsid w:val="00544345"/>
    <w:rsid w:val="0056277D"/>
    <w:rsid w:val="00566D9A"/>
    <w:rsid w:val="00570A5C"/>
    <w:rsid w:val="005717E1"/>
    <w:rsid w:val="005718EA"/>
    <w:rsid w:val="00590479"/>
    <w:rsid w:val="005927BA"/>
    <w:rsid w:val="00593795"/>
    <w:rsid w:val="00593E2B"/>
    <w:rsid w:val="005A0224"/>
    <w:rsid w:val="005E590E"/>
    <w:rsid w:val="005F199B"/>
    <w:rsid w:val="005F7A1E"/>
    <w:rsid w:val="00612303"/>
    <w:rsid w:val="00612420"/>
    <w:rsid w:val="00630E2B"/>
    <w:rsid w:val="00650DC3"/>
    <w:rsid w:val="00666DDD"/>
    <w:rsid w:val="00667E22"/>
    <w:rsid w:val="0067266F"/>
    <w:rsid w:val="00674FFF"/>
    <w:rsid w:val="00677C65"/>
    <w:rsid w:val="0068122D"/>
    <w:rsid w:val="006844AA"/>
    <w:rsid w:val="00684754"/>
    <w:rsid w:val="006A2E00"/>
    <w:rsid w:val="006B171E"/>
    <w:rsid w:val="006C2D03"/>
    <w:rsid w:val="006C7C8E"/>
    <w:rsid w:val="006D727F"/>
    <w:rsid w:val="006E36F8"/>
    <w:rsid w:val="006E5CDB"/>
    <w:rsid w:val="006F317D"/>
    <w:rsid w:val="00706DBA"/>
    <w:rsid w:val="00711188"/>
    <w:rsid w:val="007266DA"/>
    <w:rsid w:val="007324A4"/>
    <w:rsid w:val="0073270F"/>
    <w:rsid w:val="00732DA7"/>
    <w:rsid w:val="00733509"/>
    <w:rsid w:val="00733D58"/>
    <w:rsid w:val="00746420"/>
    <w:rsid w:val="007655CD"/>
    <w:rsid w:val="00780169"/>
    <w:rsid w:val="00782957"/>
    <w:rsid w:val="007874E8"/>
    <w:rsid w:val="00791D6B"/>
    <w:rsid w:val="007A0B99"/>
    <w:rsid w:val="007B3A46"/>
    <w:rsid w:val="007B4116"/>
    <w:rsid w:val="007C2582"/>
    <w:rsid w:val="007C36D4"/>
    <w:rsid w:val="007C6F8A"/>
    <w:rsid w:val="007D06C4"/>
    <w:rsid w:val="007F05E8"/>
    <w:rsid w:val="007F1DCB"/>
    <w:rsid w:val="007F4030"/>
    <w:rsid w:val="00803AC0"/>
    <w:rsid w:val="0085686B"/>
    <w:rsid w:val="00872E34"/>
    <w:rsid w:val="0087466D"/>
    <w:rsid w:val="008825E8"/>
    <w:rsid w:val="00892656"/>
    <w:rsid w:val="00900DAE"/>
    <w:rsid w:val="00911CD1"/>
    <w:rsid w:val="009163C8"/>
    <w:rsid w:val="00923BBE"/>
    <w:rsid w:val="0093740A"/>
    <w:rsid w:val="009439AC"/>
    <w:rsid w:val="009504AF"/>
    <w:rsid w:val="0095393A"/>
    <w:rsid w:val="00954F7E"/>
    <w:rsid w:val="00957DA6"/>
    <w:rsid w:val="00964C68"/>
    <w:rsid w:val="00973B35"/>
    <w:rsid w:val="00977E6B"/>
    <w:rsid w:val="00982B93"/>
    <w:rsid w:val="009B5D60"/>
    <w:rsid w:val="009B7F7D"/>
    <w:rsid w:val="009C2805"/>
    <w:rsid w:val="009C3FCC"/>
    <w:rsid w:val="009E716F"/>
    <w:rsid w:val="00A0483C"/>
    <w:rsid w:val="00A13043"/>
    <w:rsid w:val="00A3620E"/>
    <w:rsid w:val="00A53D2A"/>
    <w:rsid w:val="00A65054"/>
    <w:rsid w:val="00A851FB"/>
    <w:rsid w:val="00A918F7"/>
    <w:rsid w:val="00A93A20"/>
    <w:rsid w:val="00AA2C2A"/>
    <w:rsid w:val="00AA696F"/>
    <w:rsid w:val="00AB4E15"/>
    <w:rsid w:val="00AB6246"/>
    <w:rsid w:val="00AD2E22"/>
    <w:rsid w:val="00AD4E71"/>
    <w:rsid w:val="00AD500C"/>
    <w:rsid w:val="00AD6658"/>
    <w:rsid w:val="00AE2CB5"/>
    <w:rsid w:val="00AF355E"/>
    <w:rsid w:val="00B01357"/>
    <w:rsid w:val="00B1704F"/>
    <w:rsid w:val="00B23E24"/>
    <w:rsid w:val="00B31263"/>
    <w:rsid w:val="00B3502B"/>
    <w:rsid w:val="00B354AD"/>
    <w:rsid w:val="00B45E2A"/>
    <w:rsid w:val="00B46D73"/>
    <w:rsid w:val="00B472EC"/>
    <w:rsid w:val="00B7295E"/>
    <w:rsid w:val="00B9468A"/>
    <w:rsid w:val="00B95F8A"/>
    <w:rsid w:val="00BB1F3D"/>
    <w:rsid w:val="00BB510B"/>
    <w:rsid w:val="00BC2E45"/>
    <w:rsid w:val="00BC63B4"/>
    <w:rsid w:val="00BD49B9"/>
    <w:rsid w:val="00BD78E6"/>
    <w:rsid w:val="00BD7E90"/>
    <w:rsid w:val="00BF1292"/>
    <w:rsid w:val="00C01021"/>
    <w:rsid w:val="00C116D9"/>
    <w:rsid w:val="00C14E91"/>
    <w:rsid w:val="00C26E01"/>
    <w:rsid w:val="00C512CC"/>
    <w:rsid w:val="00C61D78"/>
    <w:rsid w:val="00C62030"/>
    <w:rsid w:val="00C72DEB"/>
    <w:rsid w:val="00C8539B"/>
    <w:rsid w:val="00C968DF"/>
    <w:rsid w:val="00CB0B67"/>
    <w:rsid w:val="00CB5B2A"/>
    <w:rsid w:val="00CE25A3"/>
    <w:rsid w:val="00CE5F93"/>
    <w:rsid w:val="00CE6DCF"/>
    <w:rsid w:val="00D0210B"/>
    <w:rsid w:val="00D435B8"/>
    <w:rsid w:val="00D47D96"/>
    <w:rsid w:val="00D5206C"/>
    <w:rsid w:val="00D53284"/>
    <w:rsid w:val="00D57720"/>
    <w:rsid w:val="00D64889"/>
    <w:rsid w:val="00D85527"/>
    <w:rsid w:val="00D87259"/>
    <w:rsid w:val="00DB2B64"/>
    <w:rsid w:val="00DB45AF"/>
    <w:rsid w:val="00DB75BD"/>
    <w:rsid w:val="00DC053E"/>
    <w:rsid w:val="00DD448D"/>
    <w:rsid w:val="00DE4959"/>
    <w:rsid w:val="00DF197E"/>
    <w:rsid w:val="00DF6A8A"/>
    <w:rsid w:val="00E11565"/>
    <w:rsid w:val="00E3643D"/>
    <w:rsid w:val="00E50057"/>
    <w:rsid w:val="00E52247"/>
    <w:rsid w:val="00E53C87"/>
    <w:rsid w:val="00E62CC1"/>
    <w:rsid w:val="00E64D34"/>
    <w:rsid w:val="00E9336B"/>
    <w:rsid w:val="00EB02D0"/>
    <w:rsid w:val="00EB64C5"/>
    <w:rsid w:val="00F060BF"/>
    <w:rsid w:val="00F15393"/>
    <w:rsid w:val="00F17427"/>
    <w:rsid w:val="00F17579"/>
    <w:rsid w:val="00F20310"/>
    <w:rsid w:val="00F36B77"/>
    <w:rsid w:val="00F467A1"/>
    <w:rsid w:val="00F47D1D"/>
    <w:rsid w:val="00F50EB7"/>
    <w:rsid w:val="00F528D2"/>
    <w:rsid w:val="00F62E9F"/>
    <w:rsid w:val="00F7393B"/>
    <w:rsid w:val="00F82877"/>
    <w:rsid w:val="00F83A27"/>
    <w:rsid w:val="00FB59C3"/>
    <w:rsid w:val="00FB774B"/>
    <w:rsid w:val="00FD0A37"/>
    <w:rsid w:val="00FE663D"/>
    <w:rsid w:val="00FE7861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40B6B9"/>
  <w15:chartTrackingRefBased/>
  <w15:docId w15:val="{8352E3C2-DE20-4355-BF76-97714FE9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83F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95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Booktitle">
    <w:name w:val="AbstractBook title"/>
    <w:basedOn w:val="1"/>
    <w:next w:val="AbstactBookauthors"/>
    <w:rsid w:val="00AB6246"/>
    <w:pPr>
      <w:spacing w:before="0" w:after="120"/>
    </w:pPr>
    <w:rPr>
      <w:rFonts w:ascii="Times New Roman" w:hAnsi="Times New Roman"/>
      <w:sz w:val="20"/>
      <w:szCs w:val="22"/>
      <w:lang w:val="en-US"/>
    </w:rPr>
  </w:style>
  <w:style w:type="paragraph" w:customStyle="1" w:styleId="AbstactBookauthors">
    <w:name w:val="AbstactBook authors"/>
    <w:basedOn w:val="a"/>
    <w:next w:val="AbstractBookaffiliation"/>
    <w:rsid w:val="00283FA6"/>
    <w:pPr>
      <w:spacing w:after="120"/>
    </w:pPr>
    <w:rPr>
      <w:sz w:val="22"/>
      <w:szCs w:val="22"/>
      <w:lang w:val="en-US"/>
    </w:rPr>
  </w:style>
  <w:style w:type="paragraph" w:customStyle="1" w:styleId="AbstractBookaffiliation">
    <w:name w:val="AbstractBook affiliation"/>
    <w:basedOn w:val="a"/>
    <w:next w:val="a"/>
    <w:rsid w:val="00AB6246"/>
    <w:pPr>
      <w:spacing w:after="120"/>
    </w:pPr>
    <w:rPr>
      <w:i/>
      <w:sz w:val="18"/>
      <w:szCs w:val="20"/>
      <w:lang w:val="en-US"/>
    </w:rPr>
  </w:style>
  <w:style w:type="paragraph" w:customStyle="1" w:styleId="AbstractBooktext">
    <w:name w:val="AbstractBook text"/>
    <w:basedOn w:val="a"/>
    <w:rsid w:val="00AB6246"/>
    <w:pPr>
      <w:spacing w:after="60"/>
      <w:ind w:firstLine="539"/>
      <w:jc w:val="both"/>
    </w:pPr>
    <w:rPr>
      <w:sz w:val="20"/>
      <w:szCs w:val="22"/>
      <w:lang w:val="en-US"/>
    </w:rPr>
  </w:style>
  <w:style w:type="paragraph" w:customStyle="1" w:styleId="AbstractBookreference">
    <w:name w:val="AbstractBook reference"/>
    <w:basedOn w:val="a"/>
    <w:rsid w:val="00AB6246"/>
    <w:pPr>
      <w:numPr>
        <w:numId w:val="1"/>
      </w:numPr>
      <w:jc w:val="both"/>
    </w:pPr>
    <w:rPr>
      <w:sz w:val="18"/>
      <w:szCs w:val="22"/>
      <w:lang w:val="en-US"/>
    </w:rPr>
  </w:style>
  <w:style w:type="paragraph" w:customStyle="1" w:styleId="AbstractBookfigure">
    <w:name w:val="AbstractBook figure"/>
    <w:basedOn w:val="a"/>
    <w:next w:val="AbstractBookcaption"/>
    <w:rsid w:val="00CB0B67"/>
    <w:pPr>
      <w:spacing w:before="120" w:line="360" w:lineRule="auto"/>
      <w:jc w:val="center"/>
    </w:pPr>
    <w:rPr>
      <w:sz w:val="20"/>
      <w:szCs w:val="22"/>
      <w:lang w:val="en-GB"/>
    </w:rPr>
  </w:style>
  <w:style w:type="paragraph" w:customStyle="1" w:styleId="AbstractBookcaption">
    <w:name w:val="AbstractBook caption"/>
    <w:basedOn w:val="a"/>
    <w:rsid w:val="00AB6246"/>
    <w:pPr>
      <w:spacing w:after="120"/>
      <w:ind w:left="799" w:hanging="799"/>
      <w:jc w:val="both"/>
    </w:pPr>
    <w:rPr>
      <w:sz w:val="18"/>
      <w:szCs w:val="20"/>
      <w:lang w:val="en-GB"/>
    </w:rPr>
  </w:style>
  <w:style w:type="paragraph" w:styleId="a3">
    <w:name w:val="header"/>
    <w:basedOn w:val="a"/>
    <w:rsid w:val="001F1D3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1F1D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081CD2"/>
    <w:rPr>
      <w:sz w:val="24"/>
      <w:szCs w:val="24"/>
    </w:rPr>
  </w:style>
  <w:style w:type="paragraph" w:styleId="a6">
    <w:name w:val="Balloon Text"/>
    <w:basedOn w:val="a"/>
    <w:link w:val="a7"/>
    <w:rsid w:val="00081CD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81CD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actBookauthors0">
    <w:name w:val="Стиль AbstactBook authors + подчеркивание"/>
    <w:basedOn w:val="AbstactBookauthors"/>
    <w:rsid w:val="00AB6246"/>
    <w:rPr>
      <w:sz w:val="20"/>
      <w:u w:val="single"/>
    </w:rPr>
  </w:style>
  <w:style w:type="paragraph" w:customStyle="1" w:styleId="AbstractBookaffiliation0">
    <w:name w:val="Стиль AbstractBook affiliation + надстрочные"/>
    <w:basedOn w:val="AbstractBookaffiliation"/>
    <w:rsid w:val="00AB6246"/>
    <w:rPr>
      <w:iCs/>
      <w:vertAlign w:val="superscript"/>
    </w:rPr>
  </w:style>
  <w:style w:type="paragraph" w:customStyle="1" w:styleId="AbstractBookaffiliation1">
    <w:name w:val="Стиль AbstractBook affiliation + надстрочные1"/>
    <w:basedOn w:val="AbstractBookaffiliation"/>
    <w:rsid w:val="00AB6246"/>
    <w:rPr>
      <w:iCs/>
      <w:vertAlign w:val="superscript"/>
    </w:rPr>
  </w:style>
  <w:style w:type="paragraph" w:customStyle="1" w:styleId="AbstractBookaffiliation2">
    <w:name w:val="Стиль AbstractBook affiliation + надстрочные2"/>
    <w:basedOn w:val="AbstractBookaffiliation"/>
    <w:rsid w:val="00AB6246"/>
    <w:rPr>
      <w:iCs/>
      <w:vertAlign w:val="superscript"/>
    </w:rPr>
  </w:style>
  <w:style w:type="character" w:styleId="a9">
    <w:name w:val="Strong"/>
    <w:uiPriority w:val="22"/>
    <w:qFormat/>
    <w:rsid w:val="007D06C4"/>
    <w:rPr>
      <w:b/>
      <w:bCs/>
    </w:rPr>
  </w:style>
  <w:style w:type="character" w:customStyle="1" w:styleId="apple-converted-space">
    <w:name w:val="apple-converted-space"/>
    <w:rsid w:val="007D06C4"/>
  </w:style>
  <w:style w:type="character" w:styleId="aa">
    <w:name w:val="Hyperlink"/>
    <w:uiPriority w:val="99"/>
    <w:unhideWhenUsed/>
    <w:rsid w:val="00C968DF"/>
    <w:rPr>
      <w:color w:val="0000FF"/>
      <w:u w:val="single"/>
    </w:rPr>
  </w:style>
  <w:style w:type="character" w:styleId="ab">
    <w:name w:val="FollowedHyperlink"/>
    <w:rsid w:val="0024768E"/>
    <w:rPr>
      <w:color w:val="800080"/>
      <w:u w:val="single"/>
    </w:rPr>
  </w:style>
  <w:style w:type="paragraph" w:customStyle="1" w:styleId="10">
    <w:name w:val="Обычный (веб)1"/>
    <w:basedOn w:val="a"/>
    <w:uiPriority w:val="99"/>
    <w:unhideWhenUsed/>
    <w:rsid w:val="00037CE2"/>
    <w:pPr>
      <w:spacing w:before="100" w:beforeAutospacing="1" w:after="100" w:afterAutospacing="1"/>
    </w:pPr>
  </w:style>
  <w:style w:type="paragraph" w:customStyle="1" w:styleId="AbstractText">
    <w:name w:val="Abstract Text"/>
    <w:basedOn w:val="a"/>
    <w:rsid w:val="003A416A"/>
    <w:pPr>
      <w:tabs>
        <w:tab w:val="left" w:pos="709"/>
      </w:tabs>
      <w:suppressAutoHyphens/>
      <w:spacing w:line="200" w:lineRule="atLeast"/>
      <w:jc w:val="both"/>
      <w:textAlignment w:val="baseline"/>
    </w:pPr>
    <w:rPr>
      <w:rFonts w:eastAsia="DejaVu Sans"/>
      <w:i/>
      <w:iCs/>
      <w:color w:val="404040"/>
      <w:kern w:val="1"/>
      <w:sz w:val="26"/>
      <w:szCs w:val="26"/>
      <w:u w:val="single"/>
      <w:lang w:val="en-US" w:eastAsia="ar-SA"/>
    </w:rPr>
  </w:style>
  <w:style w:type="paragraph" w:customStyle="1" w:styleId="Section-Heading">
    <w:name w:val="Section-Heading"/>
    <w:rsid w:val="00287EFE"/>
    <w:pPr>
      <w:keepNext/>
      <w:keepLines/>
      <w:widowControl w:val="0"/>
      <w:suppressAutoHyphens/>
      <w:spacing w:before="200"/>
      <w:textAlignment w:val="baseline"/>
    </w:pPr>
    <w:rPr>
      <w:rFonts w:eastAsia="DejaVu Sans"/>
      <w:b/>
      <w:bCs/>
      <w:color w:val="404040"/>
      <w:kern w:val="1"/>
      <w:sz w:val="28"/>
      <w:szCs w:val="28"/>
      <w:lang w:val="en-US" w:eastAsia="ar-SA"/>
    </w:rPr>
  </w:style>
  <w:style w:type="character" w:customStyle="1" w:styleId="11">
    <w:name w:val="Неразрешенное упоминание1"/>
    <w:uiPriority w:val="99"/>
    <w:semiHidden/>
    <w:unhideWhenUsed/>
    <w:rsid w:val="00FD0A37"/>
    <w:rPr>
      <w:color w:val="605E5C"/>
      <w:shd w:val="clear" w:color="auto" w:fill="E1DFDD"/>
    </w:rPr>
  </w:style>
  <w:style w:type="character" w:styleId="ac">
    <w:name w:val="annotation reference"/>
    <w:basedOn w:val="a0"/>
    <w:rsid w:val="00D87259"/>
    <w:rPr>
      <w:sz w:val="16"/>
      <w:szCs w:val="16"/>
    </w:rPr>
  </w:style>
  <w:style w:type="paragraph" w:styleId="ad">
    <w:name w:val="annotation text"/>
    <w:basedOn w:val="a"/>
    <w:link w:val="ae"/>
    <w:rsid w:val="00D872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D87259"/>
  </w:style>
  <w:style w:type="paragraph" w:styleId="af">
    <w:name w:val="annotation subject"/>
    <w:basedOn w:val="ad"/>
    <w:next w:val="ad"/>
    <w:link w:val="af0"/>
    <w:rsid w:val="00D87259"/>
    <w:rPr>
      <w:b/>
      <w:bCs/>
    </w:rPr>
  </w:style>
  <w:style w:type="character" w:customStyle="1" w:styleId="af0">
    <w:name w:val="Тема примечания Знак"/>
    <w:basedOn w:val="ae"/>
    <w:link w:val="af"/>
    <w:rsid w:val="00D87259"/>
    <w:rPr>
      <w:b/>
      <w:bCs/>
    </w:rPr>
  </w:style>
  <w:style w:type="paragraph" w:styleId="af1">
    <w:name w:val="List Paragraph"/>
    <w:basedOn w:val="a"/>
    <w:uiPriority w:val="34"/>
    <w:qFormat/>
    <w:rsid w:val="00464C4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95F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7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1398-3D14-4AB4-9514-5B0D907C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Scanning Probe Microscopy Study of As-Grown Domain Structure in Single Crystalline Lead Germanate</vt:lpstr>
    </vt:vector>
  </TitlesOfParts>
  <Company>Ferroelectric Laboratory</Company>
  <LinksUpToDate>false</LinksUpToDate>
  <CharactersWithSpaces>3648</CharactersWithSpaces>
  <SharedDoc>false</SharedDoc>
  <HLinks>
    <vt:vector size="6" baseType="variant">
      <vt:variant>
        <vt:i4>6881283</vt:i4>
      </vt:variant>
      <vt:variant>
        <vt:i4>0</vt:i4>
      </vt:variant>
      <vt:variant>
        <vt:i4>0</vt:i4>
      </vt:variant>
      <vt:variant>
        <vt:i4>5</vt:i4>
      </vt:variant>
      <vt:variant>
        <vt:lpwstr>mailto:Barabanova.EV@tversu.ru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Scanning Probe Microscopy Study of As-Grown Domain Structure in Single Crystalline Lead Germanate</dc:title>
  <dc:subject/>
  <dc:creator>Cheetah Cheetah</dc:creator>
  <cp:keywords/>
  <cp:lastModifiedBy>Учетная запись Майкрософт</cp:lastModifiedBy>
  <cp:revision>3</cp:revision>
  <dcterms:created xsi:type="dcterms:W3CDTF">2026-03-09T08:08:00Z</dcterms:created>
  <dcterms:modified xsi:type="dcterms:W3CDTF">2026-03-09T08:18:00Z</dcterms:modified>
</cp:coreProperties>
</file>