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240" w:after="0"/>
        <w:ind w:left="0" w:hanging="0"/>
        <w:jc w:val="center"/>
        <w:rPr>
          <w:b/>
          <w:b/>
          <w:bCs/>
          <w:i w:val="false"/>
          <w:i w:val="false"/>
          <w:iCs w:val="false"/>
        </w:rPr>
      </w:pPr>
      <w:r>
        <w:rPr>
          <w:b/>
          <w:bCs/>
        </w:rPr>
        <w:t>Реконструкция вершины распада тау-лептона в трековом детекторе с пассивным поглотителем различной конфигурации</w:t>
      </w:r>
    </w:p>
    <w:p>
      <w:pPr>
        <w:pStyle w:val="LOnormal"/>
        <w:spacing w:lineRule="auto" w:line="240" w:before="240" w:after="0"/>
        <w:ind w:left="0" w:hanging="0"/>
        <w:jc w:val="center"/>
        <w:rPr>
          <w:b/>
          <w:b/>
          <w:bCs/>
        </w:rPr>
      </w:pPr>
      <w:r>
        <w:rPr>
          <w:b/>
          <w:bCs/>
        </w:rPr>
        <w:t>Гусельщикова Л.О.</w:t>
      </w:r>
      <w:r>
        <w:rPr>
          <w:b/>
          <w:bCs/>
          <w:vertAlign w:val="superscript"/>
        </w:rPr>
        <w:t>1</w:t>
      </w:r>
      <w:r>
        <w:rPr>
          <w:b/>
          <w:bCs/>
        </w:rPr>
        <w:t>,  Анохина А.М.</w:t>
      </w:r>
      <w:r>
        <w:rPr>
          <w:b/>
          <w:bCs/>
          <w:vertAlign w:val="superscript"/>
        </w:rPr>
        <w:t>1,2</w:t>
      </w:r>
    </w:p>
    <w:p>
      <w:pPr>
        <w:pStyle w:val="LOnormal"/>
        <w:spacing w:lineRule="auto" w:line="240" w:before="240" w:after="0"/>
        <w:ind w:left="0" w:hanging="0"/>
        <w:jc w:val="center"/>
        <w:rPr/>
      </w:pPr>
      <w:r>
        <w:rPr/>
        <w:t>Студент (2 курс)</w:t>
      </w:r>
    </w:p>
    <w:p>
      <w:pPr>
        <w:pStyle w:val="LOnormal"/>
        <w:spacing w:lineRule="auto" w:line="240" w:before="240" w:after="0"/>
        <w:ind w:left="0" w:hanging="0"/>
        <w:jc w:val="center"/>
        <w:rPr/>
      </w:pPr>
      <w:r>
        <w:rPr>
          <w:vertAlign w:val="superscript"/>
        </w:rPr>
        <w:t xml:space="preserve">1 </w:t>
      </w:r>
      <w:r>
        <w:rPr/>
        <w:t>Московский государственный университет имени М.В. Ломоносова, Физический факультет, Москва, Россия</w:t>
        <w:tab/>
      </w:r>
    </w:p>
    <w:p>
      <w:pPr>
        <w:pStyle w:val="LOnormal"/>
        <w:spacing w:lineRule="auto" w:line="240" w:before="240" w:after="0"/>
        <w:ind w:left="0" w:hanging="0"/>
        <w:jc w:val="center"/>
        <w:rPr/>
      </w:pPr>
      <w:r>
        <w:rPr>
          <w:vertAlign w:val="superscript"/>
        </w:rPr>
        <w:t>2</w:t>
      </w:r>
      <w:r>
        <w:rPr/>
        <w:t xml:space="preserve"> Научно-исследовательский институт ядерной физики имени Д.В. Скобельцына, Москва, Россия</w:t>
      </w:r>
    </w:p>
    <w:p>
      <w:pPr>
        <w:pStyle w:val="LOnormal"/>
        <w:spacing w:lineRule="auto" w:line="240" w:before="240" w:after="0"/>
        <w:ind w:left="0" w:hanging="0"/>
        <w:jc w:val="center"/>
        <w:rPr/>
      </w:pPr>
      <w:r>
        <w:rPr/>
        <w:t>E-mail: guselschikovalo@my.msu.ru</w:t>
        <w:tab/>
      </w:r>
    </w:p>
    <w:p>
      <w:pPr>
        <w:pStyle w:val="LOnormal"/>
        <w:widowControl/>
        <w:spacing w:lineRule="auto" w:line="240" w:before="240" w:after="0"/>
        <w:ind w:left="0" w:right="0" w:firstLine="397"/>
        <w:jc w:val="both"/>
        <w:rPr/>
      </w:pPr>
      <w:r>
        <w:rPr>
          <w:i w:val="false"/>
          <w:iCs w:val="false"/>
        </w:rPr>
        <w:t>Одной из задач современной нейтринной физики высоких энергий является изучение взаимодействий тау-нейтрино [1,2,3]. Если взаимодействие идет по каналу заряженного тока, то глубоко неупругое рассеяние тау-нейтрино происходит с рождением и последующим распадом тау-лептона (τ</w:t>
      </w:r>
      <w:r>
        <w:rPr>
          <w:i w:val="false"/>
          <w:iCs w:val="false"/>
          <w:vertAlign w:val="subscript"/>
        </w:rPr>
        <w:t>0</w:t>
      </w:r>
      <w:r>
        <w:rPr>
          <w:i w:val="false"/>
          <w:iCs w:val="false"/>
        </w:rPr>
        <w:t>=2.9</w:t>
      </w:r>
      <w:r>
        <w:rPr>
          <w:rFonts w:eastAsia="Times New Roman" w:cs="Times New Roman"/>
          <w:i w:val="false"/>
          <w:iCs w:val="false"/>
        </w:rPr>
        <w:t>∙</w:t>
      </w:r>
      <w:r>
        <w:rPr>
          <w:i w:val="false"/>
          <w:iCs w:val="false"/>
        </w:rPr>
        <w:t>10</w:t>
      </w:r>
      <w:r>
        <w:rPr>
          <w:i w:val="false"/>
          <w:iCs w:val="false"/>
          <w:vertAlign w:val="superscript"/>
        </w:rPr>
        <w:t>-13</w:t>
      </w:r>
      <w:r>
        <w:rPr>
          <w:i w:val="false"/>
          <w:iCs w:val="false"/>
        </w:rPr>
        <w:t>с).  Определение координат точки распада тау-лептона с высокой точностью необходимо для полной реконструкции двухвершинного тау-нейтринного события.  Точность восстановления треков частиц и вершин события напрямую зависит от характеристик материала детектора и выбранной конфигурации трековой системы. В настоящей работе исследуется влияние материала и толщины пассивного поглотителя на точность реконструкции точки распада тау-лептона по трём заряженным пионам.</w:t>
      </w:r>
    </w:p>
    <w:p>
      <w:pPr>
        <w:pStyle w:val="LOnormal"/>
        <w:spacing w:lineRule="auto" w:line="240" w:before="240" w:after="0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50485" cy="13925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spacing w:lineRule="auto" w:line="240" w:before="240" w:after="0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spacing w:lineRule="auto" w:line="240" w:before="240" w:after="0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spacing w:lineRule="auto" w:line="240" w:before="240" w:after="0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spacing w:lineRule="auto" w:line="240" w:before="240" w:after="0"/>
        <w:ind w:left="0" w:hanging="0"/>
        <w:jc w:val="both"/>
        <w:rPr>
          <w:i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Рис. 1.</w:t>
      </w:r>
      <w:r>
        <w:rPr>
          <w:i/>
          <w:iCs/>
          <w:sz w:val="22"/>
          <w:szCs w:val="22"/>
        </w:rPr>
        <w:t xml:space="preserve"> Визуализация события в моделирующей программе GEANT4 (слева) и   схема распада тау-лептона на три  заряженных пиона в детекторе (справа). Точками показаны пересечения треками частиц  чувствительных слоев (кремниевые детекторы).</w:t>
      </w:r>
    </w:p>
    <w:p>
      <w:pPr>
        <w:pStyle w:val="LOnormal"/>
        <w:widowControl/>
        <w:spacing w:lineRule="auto" w:line="240" w:before="240" w:after="0"/>
        <w:ind w:left="0" w:right="0" w:firstLine="397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Моделирование методом Монте-Карло выполнено с использованием пакета GEANT4 [4] для 100000 тау-лептонов с энергией 20 ГэВ. Рассматривалась конфигурация детектора, состоящая из чередующихся слоёв пассивного поглотителя (железо или вольфрам различной толщины) и чувствительных кремниевых слоёв (0.3 мм, SetCut = 10 мкм). Для восстановления треков использовалось от 2 до 3 точек трека, зафиксированных при пересечении частицей границы между поглотителем и кремниевым детектором, что позволило минимизировать влияние многократного рассеяния и получить верхнюю оценку точности реконструкции вершины. </w:t>
      </w:r>
    </w:p>
    <w:p>
      <w:pPr>
        <w:pStyle w:val="LOnormal"/>
        <w:widowControl/>
        <w:spacing w:lineRule="auto" w:line="240" w:before="240" w:after="0"/>
        <w:ind w:left="0" w:right="0" w:firstLine="397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В работе проанализированы события, в которых зарегистрированы три трека заряженных пионов от распада тау-лептона. Проведено сравнение длины пробега тау-лептона и погрешности определения вершины распада для различных материалов. Исследован прицельный параметр (impact parameter) заряженных пионов относительно точки распада тау-лептона и точки первичного взаимодействия.</w:t>
      </w:r>
    </w:p>
    <w:p>
      <w:pPr>
        <w:pStyle w:val="LOnormal"/>
        <w:ind w:left="0" w:hanging="0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696595</wp:posOffset>
            </wp:positionH>
            <wp:positionV relativeFrom="paragraph">
              <wp:posOffset>25400</wp:posOffset>
            </wp:positionV>
            <wp:extent cx="3837305" cy="16344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ind w:left="0" w:hanging="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LOnormal"/>
        <w:ind w:left="0" w:hanging="0"/>
        <w:jc w:val="both"/>
        <w:rPr>
          <w:b/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Рис. 2. </w:t>
      </w:r>
      <w:r>
        <w:rPr>
          <w:i/>
          <w:iCs/>
          <w:sz w:val="22"/>
          <w:szCs w:val="22"/>
        </w:rPr>
        <w:t xml:space="preserve">Распределения  зарегистрированных событий по длине трека тау-лептона (слева).   </w:t>
      </w:r>
      <w:r>
        <w:rPr>
          <w:i/>
          <w:iCs/>
          <w:sz w:val="22"/>
          <w:szCs w:val="22"/>
        </w:rPr>
        <w:t>Р</w:t>
      </w:r>
      <w:r>
        <w:rPr>
          <w:i/>
          <w:iCs/>
          <w:sz w:val="22"/>
          <w:szCs w:val="22"/>
        </w:rPr>
        <w:t>аспределения по расстоянию ΔR</w:t>
      </w:r>
      <w:r>
        <w:rPr>
          <w:i/>
          <w:iCs/>
          <w:sz w:val="22"/>
          <w:szCs w:val="22"/>
          <w:vertAlign w:val="subscript"/>
        </w:rPr>
        <w:t>decay point</w:t>
      </w:r>
      <w:r>
        <w:rPr>
          <w:i/>
          <w:iCs/>
          <w:sz w:val="22"/>
          <w:szCs w:val="22"/>
        </w:rPr>
        <w:t xml:space="preserve"> от реконструированной до истинной вершины  распада и по расстоянию ΔR</w:t>
      </w:r>
      <w:r>
        <w:rPr>
          <w:i/>
          <w:iCs/>
          <w:sz w:val="22"/>
          <w:szCs w:val="22"/>
          <w:vertAlign w:val="subscript"/>
        </w:rPr>
        <w:t>starting point</w:t>
      </w:r>
      <w:r>
        <w:rPr>
          <w:i/>
          <w:iCs/>
          <w:sz w:val="22"/>
          <w:szCs w:val="22"/>
        </w:rPr>
        <w:t xml:space="preserve"> от реконструированной  вершины  распада до точки взаимодействия нейтрино (точки рождения тау-лептона)(справа). Толщина поглотителя 0.3 см.</w:t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798195</wp:posOffset>
            </wp:positionH>
            <wp:positionV relativeFrom="paragraph">
              <wp:posOffset>77470</wp:posOffset>
            </wp:positionV>
            <wp:extent cx="3691255" cy="163512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LOnormal"/>
        <w:ind w:left="0" w:hanging="0"/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Рис. 3.</w:t>
      </w:r>
      <w:r>
        <w:rPr>
          <w:i/>
          <w:iCs/>
          <w:sz w:val="22"/>
          <w:szCs w:val="22"/>
        </w:rPr>
        <w:t xml:space="preserve"> Распределения  зарегистрированных событий по длине трека тау-лептона (слева). Распределения по расстоянию ΔR</w:t>
      </w:r>
      <w:r>
        <w:rPr>
          <w:i/>
          <w:iCs/>
          <w:sz w:val="22"/>
          <w:szCs w:val="22"/>
          <w:vertAlign w:val="subscript"/>
        </w:rPr>
        <w:t>decay point</w:t>
      </w:r>
      <w:r>
        <w:rPr>
          <w:i/>
          <w:iCs/>
          <w:sz w:val="22"/>
          <w:szCs w:val="22"/>
        </w:rPr>
        <w:t xml:space="preserve"> от реконструированной до истинной вершины  распада и по расстоянию ΔR</w:t>
      </w:r>
      <w:r>
        <w:rPr>
          <w:i/>
          <w:iCs/>
          <w:sz w:val="22"/>
          <w:szCs w:val="22"/>
          <w:vertAlign w:val="subscript"/>
        </w:rPr>
        <w:t>starting point</w:t>
      </w:r>
      <w:r>
        <w:rPr>
          <w:i/>
          <w:iCs/>
          <w:sz w:val="22"/>
          <w:szCs w:val="22"/>
        </w:rPr>
        <w:t xml:space="preserve"> от реконструированной  вершины  распада до точки взаимодействия нейтрино (точки рождения тау-лептона)(справа). Толщина поглотителя 3.0 см.</w:t>
      </w:r>
    </w:p>
    <w:p>
      <w:pPr>
        <w:pStyle w:val="LOnormal"/>
        <w:widowControl/>
        <w:spacing w:lineRule="auto" w:line="240" w:before="240" w:after="0"/>
        <w:ind w:left="0" w:right="0" w:firstLine="397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Варьирование толщины и материала абсорбера проводилось для поиска оптимальных характеристик, позволяющих получить минимальные ошибки восстановления координат точки распада тау-лептона, а также, минимальные    прицельные параметры треков пионов относительно точки распада тау-лептона и максимальные - относительно первичной вершины. Установлено, что оптимальные характеристики достигаются при использовании железного поглотителя толщиной не более 0.5 см. В этом случае вершина распада трёх заряженных пионов восстанавливается с точностью порядка 0.1 мм при средней длине пробега тау-лептона около 1 мм.</w:t>
      </w:r>
    </w:p>
    <w:p>
      <w:pPr>
        <w:pStyle w:val="LOnormal"/>
        <w:widowControl/>
        <w:tabs>
          <w:tab w:val="clear" w:pos="720"/>
          <w:tab w:val="left" w:pos="60" w:leader="none"/>
        </w:tabs>
        <w:spacing w:lineRule="auto" w:line="240" w:before="240" w:after="0"/>
        <w:ind w:left="0" w:right="0" w:firstLine="397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Результаты работы могут быть полезны для выбора материалов и толщины поглотителя при проектировании новых экспериментальных установок для изучения свойств тау-нейтрино.</w:t>
      </w:r>
    </w:p>
    <w:p>
      <w:pPr>
        <w:pStyle w:val="LOnormal"/>
        <w:widowControl/>
        <w:tabs>
          <w:tab w:val="clear" w:pos="720"/>
          <w:tab w:val="left" w:pos="60" w:leader="none"/>
        </w:tabs>
        <w:spacing w:lineRule="auto" w:line="240" w:before="240" w:after="0"/>
        <w:ind w:left="0" w:right="0" w:firstLine="397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                                                   </w:t>
      </w:r>
      <w:r>
        <w:rPr>
          <w:b/>
          <w:bCs/>
          <w:i w:val="false"/>
          <w:iCs w:val="false"/>
          <w:sz w:val="22"/>
          <w:szCs w:val="22"/>
        </w:rPr>
        <w:t xml:space="preserve"> </w:t>
      </w:r>
      <w:r>
        <w:rPr>
          <w:b/>
          <w:bCs/>
          <w:i w:val="false"/>
          <w:iCs w:val="false"/>
          <w:sz w:val="22"/>
          <w:szCs w:val="22"/>
        </w:rPr>
        <w:t>Литература</w:t>
      </w:r>
    </w:p>
    <w:p>
      <w:pPr>
        <w:pStyle w:val="LOnormal"/>
        <w:spacing w:lineRule="auto" w:line="240" w:before="0" w:after="0"/>
        <w:ind w:left="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normal"/>
        <w:spacing w:lineRule="auto" w:line="240" w:before="0" w:after="0"/>
        <w:ind w:left="0" w:hanging="0"/>
        <w:rPr>
          <w:sz w:val="20"/>
          <w:szCs w:val="20"/>
        </w:rPr>
      </w:pPr>
      <w:r>
        <w:rPr>
          <w:sz w:val="20"/>
          <w:szCs w:val="20"/>
        </w:rPr>
        <w:t>1. The SHiP experiment at the proposed CERN SPS Beam Dump Facility / C. Ahdida [и др.] // Eur. Phys. J. C. — 2022. — Т. 82, № 5. — С. 486. — DOI: 10.1140/epjc/s10052-022-10346-5. arXiv: 2112.01487 .</w:t>
      </w:r>
    </w:p>
    <w:p>
      <w:pPr>
        <w:pStyle w:val="LOnormal"/>
        <w:spacing w:lineRule="auto" w:line="240" w:before="0" w:after="0"/>
        <w:ind w:left="0" w:hanging="0"/>
        <w:rPr>
          <w:sz w:val="20"/>
          <w:szCs w:val="20"/>
        </w:rPr>
      </w:pPr>
      <w:r>
        <w:rPr>
          <w:sz w:val="20"/>
          <w:szCs w:val="20"/>
        </w:rPr>
        <w:t xml:space="preserve">2. SND@LHC / C. Ahdida [и др.]. — 2020. — arXiv: 2002 . 08722 </w:t>
      </w:r>
    </w:p>
    <w:p>
      <w:pPr>
        <w:pStyle w:val="LOnormal"/>
        <w:spacing w:lineRule="auto" w:line="240" w:before="0" w:after="0"/>
        <w:ind w:left="0" w:hanging="0"/>
        <w:rPr>
          <w:sz w:val="20"/>
          <w:szCs w:val="20"/>
        </w:rPr>
      </w:pPr>
      <w:r>
        <w:rPr>
          <w:sz w:val="20"/>
          <w:szCs w:val="20"/>
        </w:rPr>
        <w:t>3. FASER’s physics reach for long-lived particles / A. Ariga [и др.] // Phys. Rev. D. — 2019. — Т. 99, № 9. — С. 095011. — DOI: 10.1103/PhysRevD.99.095011. —arXiv: 1811.12522 [hep-ph].</w:t>
      </w:r>
    </w:p>
    <w:p>
      <w:pPr>
        <w:pStyle w:val="LOnormal"/>
        <w:spacing w:lineRule="auto" w:line="240" w:before="0" w:after="0"/>
        <w:ind w:left="0" w:hanging="0"/>
        <w:rPr>
          <w:sz w:val="20"/>
          <w:szCs w:val="20"/>
        </w:rPr>
      </w:pPr>
      <w:r>
        <w:rPr>
          <w:sz w:val="20"/>
          <w:szCs w:val="20"/>
        </w:rPr>
        <w:t>4.GEANT4 - A Simulation Toolkit / S. Agostinelli [и др.] // Nucl. Instrum. Meth. A. — 2003. — Т. 506. — С. 250—303. — DOI: 10.1016/S0168-9002(03)01368-8.</w:t>
      </w:r>
    </w:p>
    <w:p>
      <w:pPr>
        <w:pStyle w:val="LOnormal"/>
        <w:spacing w:lineRule="auto" w:line="240" w:before="0" w:after="0"/>
        <w:ind w:left="0" w:hanging="0"/>
        <w:rPr>
          <w:sz w:val="20"/>
          <w:szCs w:val="20"/>
        </w:rPr>
      </w:pPr>
      <w:r>
        <w:rPr/>
      </w:r>
    </w:p>
    <w:sectPr>
      <w:type w:val="nextPage"/>
      <w:pgSz w:w="11906" w:h="16838"/>
      <w:pgMar w:left="1360" w:right="1360" w:gutter="0" w:header="0" w:top="1133" w:footer="0" w:bottom="125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2" w:fontKey="{02014A78-CABC-4EF0-12AC-5CD89AEFDE02}"/>
    <w:embedBold r:id="rId3" w:fontKey="{03014A78-CABC-4EF0-12AC-5CD89AEFDE03}"/>
    <w:embedItalic r:id="rId4" w:fontKey="{04014A78-CABC-4EF0-12AC-5CD89AEFDE04}"/>
    <w:embedBoldItalic r:id="rId5" w:fontKey="{05014A78-CABC-4EF0-12AC-5CD89AEFDE05}"/>
  </w:font>
  <w:font w:name="Times New Roman">
    <w:charset w:val="01"/>
    <w:family w:val="roman"/>
    <w:pitch w:val="variable"/>
    <w:embedRegular r:id="rId1" w:fontKey="{01014A78-CABC-4EF0-12AC-5CD89AEFDE01}"/>
  </w:font>
  <w:font w:name="Liberation Sans">
    <w:altName w:val="Arial"/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ans">
    <w:altName w:val="Arial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Lohit Devanagari"/>
        <w:i/>
        <w:iCs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40" w:before="240" w:after="0"/>
      <w:ind w:left="2880" w:hanging="0"/>
      <w:jc w:val="left"/>
    </w:pPr>
    <w:rPr>
      <w:rFonts w:ascii="Times New Roman" w:hAnsi="Times New Roman" w:eastAsia="Tahoma" w:cs="Lohit Devanagari"/>
      <w:i/>
      <w:iCs/>
      <w:color w:val="auto"/>
      <w:kern w:val="0"/>
      <w:sz w:val="24"/>
      <w:szCs w:val="24"/>
      <w:lang w:val="ru-RU" w:eastAsia="zh-CN" w:bidi="hi-IN"/>
    </w:rPr>
  </w:style>
  <w:style w:type="paragraph" w:styleId="Heading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Style8">
    <w:name w:val="Заголовок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9">
    <w:name w:val="Указатель"/>
    <w:basedOn w:val="Normal"/>
    <w:qFormat/>
    <w:pPr>
      <w:suppressLineNumbers/>
    </w:pPr>
    <w:rPr>
      <w:rFonts w:cs="Lohit Devanagari"/>
    </w:rPr>
  </w:style>
  <w:style w:type="paragraph" w:styleId="LOnormal">
    <w:name w:val="LO-normal"/>
    <w:qFormat/>
    <w:pPr>
      <w:widowControl/>
      <w:suppressAutoHyphens w:val="true"/>
      <w:overflowPunct w:val="true"/>
      <w:bidi w:val="0"/>
      <w:spacing w:lineRule="auto" w:line="240" w:before="240" w:after="0"/>
      <w:ind w:left="2880" w:hanging="0"/>
      <w:jc w:val="left"/>
    </w:pPr>
    <w:rPr>
      <w:rFonts w:ascii="Times New Roman" w:hAnsi="Times New Roman" w:eastAsia="Tahoma" w:cs="Lohit Devanagari"/>
      <w:i/>
      <w:iCs/>
      <w:color w:val="auto"/>
      <w:kern w:val="0"/>
      <w:sz w:val="24"/>
      <w:szCs w:val="24"/>
      <w:lang w:val="ru-RU" w:eastAsia="zh-CN" w:bidi="hi-IN"/>
    </w:rPr>
  </w:style>
  <w:style w:type="paragraph" w:styleId="Title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272</TotalTime>
  <Application>LibreOffice/7.4.7.2$Linux_X86_64 LibreOffice_project/40$Build-2</Application>
  <AppVersion>15.0000</AppVersion>
  <Pages>2</Pages>
  <Words>544</Words>
  <Characters>3846</Characters>
  <CharactersWithSpaces>4460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2026-03-04T21:23:33Z</cp:lastPrinted>
  <dcterms:modified xsi:type="dcterms:W3CDTF">2026-03-04T21:29:33Z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