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EE259" w14:textId="581E1CD1" w:rsidR="004B3105" w:rsidRDefault="009C6027" w:rsidP="00112C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Анизотропия монопольных токов в </w:t>
      </w:r>
      <w:r w:rsidR="004B3105" w:rsidRPr="004B3105">
        <w:rPr>
          <w:rFonts w:ascii="Times New Roman" w:hAnsi="Times New Roman" w:cs="Times New Roman"/>
          <w:b/>
          <w:bCs/>
          <w:sz w:val="24"/>
          <w:szCs w:val="24"/>
        </w:rPr>
        <w:t xml:space="preserve">калибровочной решеточной </w:t>
      </w:r>
      <w:proofErr w:type="gramStart"/>
      <w:r w:rsidR="004B3105" w:rsidRPr="004B3105">
        <w:rPr>
          <w:rFonts w:ascii="Times New Roman" w:hAnsi="Times New Roman" w:cs="Times New Roman"/>
          <w:b/>
          <w:bCs/>
          <w:sz w:val="24"/>
          <w:szCs w:val="24"/>
        </w:rPr>
        <w:t>U(</w:t>
      </w:r>
      <w:proofErr w:type="gramEnd"/>
      <w:r w:rsidR="004B3105" w:rsidRPr="004B3105">
        <w:rPr>
          <w:rFonts w:ascii="Times New Roman" w:hAnsi="Times New Roman" w:cs="Times New Roman"/>
          <w:b/>
          <w:bCs/>
          <w:sz w:val="24"/>
          <w:szCs w:val="24"/>
        </w:rPr>
        <w:t>1)-модели с монопольным членом</w:t>
      </w:r>
    </w:p>
    <w:p w14:paraId="6DDC1318" w14:textId="76C00B42" w:rsidR="00112C31" w:rsidRDefault="004B3105" w:rsidP="00112C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Ботов</w:t>
      </w:r>
      <w:r w:rsidR="00292BDE" w:rsidRPr="00B04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Алексей Андреевич</w:t>
      </w:r>
    </w:p>
    <w:p w14:paraId="12AB4775" w14:textId="59D1640C" w:rsidR="004B3105" w:rsidRPr="004B3105" w:rsidRDefault="004B3105" w:rsidP="00112C3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93B5111" w14:textId="367F4690" w:rsidR="00292BDE" w:rsidRDefault="00292BDE" w:rsidP="00B049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978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</w:t>
      </w:r>
      <w:r w:rsidR="009A3FD0" w:rsidRPr="009A3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4978">
        <w:rPr>
          <w:rFonts w:ascii="Times New Roman" w:hAnsi="Times New Roman" w:cs="Times New Roman"/>
          <w:i/>
          <w:iCs/>
          <w:sz w:val="24"/>
          <w:szCs w:val="24"/>
        </w:rPr>
        <w:t>Ломоносова, физический факультет, Москва, Россия</w:t>
      </w:r>
    </w:p>
    <w:p w14:paraId="4951D2FC" w14:textId="083A91A9" w:rsidR="00292BDE" w:rsidRPr="008B4FEA" w:rsidRDefault="00292BDE" w:rsidP="00B0497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04978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</w:t>
      </w:r>
      <w:r w:rsidRPr="004B31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3105" w:rsidRPr="004B3105">
        <w:rPr>
          <w:rFonts w:ascii="Times New Roman" w:hAnsi="Times New Roman" w:cs="Times New Roman"/>
          <w:i/>
          <w:iCs/>
          <w:sz w:val="24"/>
          <w:szCs w:val="24"/>
          <w:lang w:val="en-US"/>
        </w:rPr>
        <w:t>botovaa@my.msu.ru</w:t>
      </w:r>
    </w:p>
    <w:p w14:paraId="49FF3CFD" w14:textId="32496E74" w:rsidR="008B4FEA" w:rsidRDefault="009A47DB" w:rsidP="00F26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Калибровочная решёточная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A47D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A47DB">
        <w:rPr>
          <w:rFonts w:ascii="Times New Roman" w:hAnsi="Times New Roman" w:cs="Times New Roman"/>
          <w:sz w:val="24"/>
          <w:szCs w:val="24"/>
        </w:rPr>
        <w:t>1)-</w:t>
      </w:r>
      <w:r>
        <w:rPr>
          <w:rFonts w:ascii="Times New Roman" w:hAnsi="Times New Roman" w:cs="Times New Roman"/>
          <w:sz w:val="24"/>
          <w:szCs w:val="24"/>
        </w:rPr>
        <w:t xml:space="preserve">модель </w:t>
      </w:r>
      <w:r w:rsidR="00F26CAB">
        <w:rPr>
          <w:rFonts w:ascii="Times New Roman" w:hAnsi="Times New Roman" w:cs="Times New Roman"/>
          <w:sz w:val="24"/>
          <w:szCs w:val="24"/>
        </w:rPr>
        <w:t xml:space="preserve">используется для </w:t>
      </w:r>
      <w:r>
        <w:rPr>
          <w:rFonts w:ascii="Times New Roman" w:hAnsi="Times New Roman" w:cs="Times New Roman"/>
          <w:sz w:val="24"/>
          <w:szCs w:val="24"/>
        </w:rPr>
        <w:t>опис</w:t>
      </w:r>
      <w:r w:rsidR="00F26CAB">
        <w:rPr>
          <w:rFonts w:ascii="Times New Roman" w:hAnsi="Times New Roman" w:cs="Times New Roman"/>
          <w:sz w:val="24"/>
          <w:szCs w:val="24"/>
        </w:rPr>
        <w:t>ания бозонной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6CA">
        <w:rPr>
          <w:rFonts w:ascii="Times New Roman" w:hAnsi="Times New Roman" w:cs="Times New Roman"/>
          <w:sz w:val="24"/>
          <w:szCs w:val="24"/>
        </w:rPr>
        <w:t>электродинамик</w:t>
      </w:r>
      <w:r w:rsidR="00F26CAB">
        <w:rPr>
          <w:rFonts w:ascii="Times New Roman" w:hAnsi="Times New Roman" w:cs="Times New Roman"/>
          <w:sz w:val="24"/>
          <w:szCs w:val="24"/>
        </w:rPr>
        <w:t>и</w:t>
      </w:r>
      <w:r w:rsidR="007126CA">
        <w:rPr>
          <w:rFonts w:ascii="Times New Roman" w:hAnsi="Times New Roman" w:cs="Times New Roman"/>
          <w:sz w:val="24"/>
          <w:szCs w:val="24"/>
        </w:rPr>
        <w:t xml:space="preserve"> в вакууме</w:t>
      </w:r>
      <w:r w:rsidR="002C5294" w:rsidRPr="002C5294">
        <w:rPr>
          <w:rFonts w:ascii="Times New Roman" w:hAnsi="Times New Roman" w:cs="Times New Roman"/>
          <w:sz w:val="24"/>
          <w:szCs w:val="24"/>
        </w:rPr>
        <w:t>[1, 2]</w:t>
      </w:r>
      <w:r w:rsidR="007126CA">
        <w:rPr>
          <w:rFonts w:ascii="Times New Roman" w:hAnsi="Times New Roman" w:cs="Times New Roman"/>
          <w:sz w:val="24"/>
          <w:szCs w:val="24"/>
        </w:rPr>
        <w:t xml:space="preserve">. </w:t>
      </w:r>
      <w:r w:rsidR="00F26CAB">
        <w:rPr>
          <w:rFonts w:ascii="Times New Roman" w:hAnsi="Times New Roman" w:cs="Times New Roman"/>
          <w:sz w:val="24"/>
          <w:szCs w:val="24"/>
        </w:rPr>
        <w:t xml:space="preserve">Одной из особенностей </w:t>
      </w:r>
      <w:r w:rsidR="00E666FC">
        <w:rPr>
          <w:rFonts w:ascii="Times New Roman" w:hAnsi="Times New Roman" w:cs="Times New Roman"/>
          <w:sz w:val="24"/>
          <w:szCs w:val="24"/>
        </w:rPr>
        <w:t>4</w:t>
      </w:r>
      <w:r w:rsidR="00E666F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126CA">
        <w:rPr>
          <w:rFonts w:ascii="Times New Roman" w:hAnsi="Times New Roman" w:cs="Times New Roman"/>
          <w:sz w:val="24"/>
          <w:szCs w:val="24"/>
        </w:rPr>
        <w:t xml:space="preserve"> </w:t>
      </w:r>
      <w:r w:rsidR="00F26CAB">
        <w:rPr>
          <w:rFonts w:ascii="Times New Roman" w:hAnsi="Times New Roman" w:cs="Times New Roman"/>
          <w:sz w:val="24"/>
          <w:szCs w:val="24"/>
        </w:rPr>
        <w:t>модели является существование</w:t>
      </w:r>
      <w:r w:rsidR="007126CA">
        <w:rPr>
          <w:rFonts w:ascii="Times New Roman" w:hAnsi="Times New Roman" w:cs="Times New Roman"/>
          <w:sz w:val="24"/>
          <w:szCs w:val="24"/>
        </w:rPr>
        <w:t xml:space="preserve"> </w:t>
      </w:r>
      <w:r w:rsidR="007126CA" w:rsidRPr="007126CA">
        <w:rPr>
          <w:rFonts w:ascii="Times New Roman" w:hAnsi="Times New Roman" w:cs="Times New Roman"/>
          <w:sz w:val="24"/>
          <w:szCs w:val="24"/>
        </w:rPr>
        <w:t>топологически</w:t>
      </w:r>
      <w:r w:rsidR="00F26CAB">
        <w:rPr>
          <w:rFonts w:ascii="Times New Roman" w:hAnsi="Times New Roman" w:cs="Times New Roman"/>
          <w:sz w:val="24"/>
          <w:szCs w:val="24"/>
        </w:rPr>
        <w:t>х</w:t>
      </w:r>
      <w:r w:rsidR="007126CA" w:rsidRPr="007126CA">
        <w:rPr>
          <w:rFonts w:ascii="Times New Roman" w:hAnsi="Times New Roman" w:cs="Times New Roman"/>
          <w:sz w:val="24"/>
          <w:szCs w:val="24"/>
        </w:rPr>
        <w:t xml:space="preserve"> дефект</w:t>
      </w:r>
      <w:r w:rsidR="00F26CAB">
        <w:rPr>
          <w:rFonts w:ascii="Times New Roman" w:hAnsi="Times New Roman" w:cs="Times New Roman"/>
          <w:sz w:val="24"/>
          <w:szCs w:val="24"/>
        </w:rPr>
        <w:t>ов</w:t>
      </w:r>
      <w:r w:rsidR="007126CA" w:rsidRPr="007126CA">
        <w:rPr>
          <w:rFonts w:ascii="Times New Roman" w:hAnsi="Times New Roman" w:cs="Times New Roman"/>
          <w:sz w:val="24"/>
          <w:szCs w:val="24"/>
        </w:rPr>
        <w:t xml:space="preserve"> электромагнитного поля</w:t>
      </w:r>
      <w:r w:rsidR="007126CA">
        <w:rPr>
          <w:rFonts w:ascii="Times New Roman" w:hAnsi="Times New Roman" w:cs="Times New Roman"/>
          <w:sz w:val="24"/>
          <w:szCs w:val="24"/>
        </w:rPr>
        <w:t xml:space="preserve"> </w:t>
      </w:r>
      <w:r w:rsidR="005F08FC" w:rsidRPr="005F08FC">
        <w:rPr>
          <w:rFonts w:ascii="Times New Roman" w:hAnsi="Times New Roman" w:cs="Times New Roman"/>
          <w:sz w:val="24"/>
          <w:szCs w:val="24"/>
        </w:rPr>
        <w:t>—</w:t>
      </w:r>
      <w:r w:rsidR="00F26CAB">
        <w:rPr>
          <w:rFonts w:ascii="Times New Roman" w:hAnsi="Times New Roman" w:cs="Times New Roman"/>
          <w:sz w:val="24"/>
          <w:szCs w:val="24"/>
        </w:rPr>
        <w:t xml:space="preserve"> </w:t>
      </w:r>
      <w:r w:rsidR="007126CA" w:rsidRPr="007126CA">
        <w:rPr>
          <w:rFonts w:ascii="Times New Roman" w:hAnsi="Times New Roman" w:cs="Times New Roman"/>
          <w:sz w:val="24"/>
          <w:szCs w:val="24"/>
        </w:rPr>
        <w:t>магнитны</w:t>
      </w:r>
      <w:r w:rsidR="00F26CAB">
        <w:rPr>
          <w:rFonts w:ascii="Times New Roman" w:hAnsi="Times New Roman" w:cs="Times New Roman"/>
          <w:sz w:val="24"/>
          <w:szCs w:val="24"/>
        </w:rPr>
        <w:t>х</w:t>
      </w:r>
      <w:r w:rsidR="007126CA" w:rsidRPr="007126CA">
        <w:rPr>
          <w:rFonts w:ascii="Times New Roman" w:hAnsi="Times New Roman" w:cs="Times New Roman"/>
          <w:sz w:val="24"/>
          <w:szCs w:val="24"/>
        </w:rPr>
        <w:t xml:space="preserve"> монопол</w:t>
      </w:r>
      <w:r w:rsidR="00F26CAB">
        <w:rPr>
          <w:rFonts w:ascii="Times New Roman" w:hAnsi="Times New Roman" w:cs="Times New Roman"/>
          <w:sz w:val="24"/>
          <w:szCs w:val="24"/>
        </w:rPr>
        <w:t>ей</w:t>
      </w:r>
      <w:r w:rsidR="007126CA">
        <w:rPr>
          <w:rFonts w:ascii="Times New Roman" w:hAnsi="Times New Roman" w:cs="Times New Roman"/>
          <w:sz w:val="24"/>
          <w:szCs w:val="24"/>
        </w:rPr>
        <w:t>.</w:t>
      </w:r>
      <w:r w:rsidR="000A7F4E">
        <w:rPr>
          <w:rFonts w:ascii="Times New Roman" w:hAnsi="Times New Roman" w:cs="Times New Roman"/>
          <w:sz w:val="24"/>
          <w:szCs w:val="24"/>
        </w:rPr>
        <w:t xml:space="preserve"> </w:t>
      </w:r>
      <w:r w:rsidR="00F26CAB">
        <w:rPr>
          <w:rFonts w:ascii="Times New Roman" w:hAnsi="Times New Roman" w:cs="Times New Roman"/>
          <w:sz w:val="24"/>
          <w:szCs w:val="24"/>
        </w:rPr>
        <w:t>В целях</w:t>
      </w:r>
      <w:r w:rsidR="00EC5CAD">
        <w:rPr>
          <w:rFonts w:ascii="Times New Roman" w:hAnsi="Times New Roman" w:cs="Times New Roman"/>
          <w:sz w:val="24"/>
          <w:szCs w:val="24"/>
        </w:rPr>
        <w:t xml:space="preserve"> данного исследования при</w:t>
      </w:r>
      <w:r w:rsidR="007126CA">
        <w:rPr>
          <w:rFonts w:ascii="Times New Roman" w:hAnsi="Times New Roman" w:cs="Times New Roman"/>
          <w:sz w:val="24"/>
          <w:szCs w:val="24"/>
        </w:rPr>
        <w:t xml:space="preserve"> моделирования в действи</w:t>
      </w:r>
      <w:r w:rsidR="00F26CAB">
        <w:rPr>
          <w:rFonts w:ascii="Times New Roman" w:hAnsi="Times New Roman" w:cs="Times New Roman"/>
          <w:sz w:val="24"/>
          <w:szCs w:val="24"/>
        </w:rPr>
        <w:t xml:space="preserve">е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="00F26CA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F26CAB">
        <w:rPr>
          <w:rFonts w:ascii="Times New Roman" w:hAnsi="Times New Roman" w:cs="Times New Roman"/>
          <w:sz w:val="24"/>
          <w:szCs w:val="24"/>
        </w:rPr>
        <w:t xml:space="preserve">модели </w:t>
      </w:r>
      <w:r w:rsidR="007126CA">
        <w:rPr>
          <w:rFonts w:ascii="Times New Roman" w:hAnsi="Times New Roman" w:cs="Times New Roman"/>
          <w:sz w:val="24"/>
          <w:szCs w:val="24"/>
        </w:rPr>
        <w:t>добавля</w:t>
      </w:r>
      <w:r w:rsidR="00EC5CAD">
        <w:rPr>
          <w:rFonts w:ascii="Times New Roman" w:hAnsi="Times New Roman" w:cs="Times New Roman"/>
          <w:sz w:val="24"/>
          <w:szCs w:val="24"/>
        </w:rPr>
        <w:t>ем</w:t>
      </w:r>
      <w:r w:rsidR="007126CA">
        <w:rPr>
          <w:rFonts w:ascii="Times New Roman" w:hAnsi="Times New Roman" w:cs="Times New Roman"/>
          <w:sz w:val="24"/>
          <w:szCs w:val="24"/>
        </w:rPr>
        <w:t xml:space="preserve"> монопольный член для </w:t>
      </w:r>
      <w:r w:rsidR="0086035F" w:rsidRPr="0086035F">
        <w:rPr>
          <w:rFonts w:ascii="Times New Roman" w:hAnsi="Times New Roman" w:cs="Times New Roman"/>
          <w:sz w:val="24"/>
          <w:szCs w:val="24"/>
        </w:rPr>
        <w:t>формирования большего числа топологических дефектов</w:t>
      </w:r>
      <w:r w:rsidR="000A7F4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E6D0934" w14:textId="62852112" w:rsidR="000A7F4E" w:rsidRPr="0086035F" w:rsidRDefault="000A7F4E" w:rsidP="00F26CAB">
      <w:pPr>
        <w:jc w:val="center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S=-</m:t>
          </m:r>
          <m:r>
            <w:rPr>
              <w:rFonts w:ascii="Cambria Math" w:hAnsi="Cambria Math"/>
              <w:sz w:val="24"/>
              <w:szCs w:val="24"/>
              <w:lang w:val="en-US"/>
            </w:rPr>
            <m:t>β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sub>
            <m:sup/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Re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  <w:lang w:val="en-US"/>
            </w:rPr>
            <m:t>λ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μ</m:t>
              </m:r>
            </m:sub>
            <m:sup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μ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24"/>
              <w:szCs w:val="24"/>
            </w:rPr>
            <m:t>,  λ&lt;0</m:t>
          </m:r>
          <m:r>
            <w:rPr>
              <w:rFonts w:ascii="Cambria Math" w:eastAsiaTheme="minorEastAsia" w:hAnsi="Cambria Math"/>
              <w:sz w:val="24"/>
              <w:szCs w:val="24"/>
            </w:rPr>
            <m:t>.</m:t>
          </m:r>
        </m:oMath>
      </m:oMathPara>
    </w:p>
    <w:p w14:paraId="32D3B46A" w14:textId="32DA1612" w:rsidR="000A7F4E" w:rsidRPr="00CC34E8" w:rsidRDefault="00CC34E8" w:rsidP="00F26CA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Расчет статистических свойств системы </w:t>
      </w:r>
      <w:r w:rsidR="00E666FC">
        <w:rPr>
          <w:rFonts w:ascii="Times New Roman" w:eastAsiaTheme="minorEastAsia" w:hAnsi="Times New Roman" w:cs="Times New Roman"/>
          <w:sz w:val="24"/>
          <w:szCs w:val="24"/>
        </w:rPr>
        <w:t xml:space="preserve">выполнен с помощью метода Монте-Карло с алгоритмом </w:t>
      </w:r>
      <w:proofErr w:type="gramStart"/>
      <w:r w:rsidR="00E565B0">
        <w:rPr>
          <w:rFonts w:ascii="Times New Roman" w:eastAsiaTheme="minorEastAsia" w:hAnsi="Times New Roman" w:cs="Times New Roman"/>
          <w:sz w:val="24"/>
          <w:szCs w:val="24"/>
        </w:rPr>
        <w:t>М</w:t>
      </w:r>
      <w:r w:rsidR="00E666FC">
        <w:rPr>
          <w:rFonts w:ascii="Times New Roman" w:eastAsiaTheme="minorEastAsia" w:hAnsi="Times New Roman" w:cs="Times New Roman"/>
          <w:sz w:val="24"/>
          <w:szCs w:val="24"/>
        </w:rPr>
        <w:t>етрополиса</w:t>
      </w:r>
      <w:r w:rsidR="00E565B0" w:rsidRPr="002C5294">
        <w:rPr>
          <w:rFonts w:ascii="Times New Roman" w:eastAsiaTheme="minorEastAsia" w:hAnsi="Times New Roman" w:cs="Times New Roman"/>
          <w:sz w:val="24"/>
          <w:szCs w:val="24"/>
        </w:rPr>
        <w:t>[</w:t>
      </w:r>
      <w:proofErr w:type="gramEnd"/>
      <w:r w:rsidR="00E565B0" w:rsidRPr="002C5294">
        <w:rPr>
          <w:rFonts w:ascii="Times New Roman" w:eastAsiaTheme="minorEastAsia" w:hAnsi="Times New Roman" w:cs="Times New Roman"/>
          <w:sz w:val="24"/>
          <w:szCs w:val="24"/>
        </w:rPr>
        <w:t>2]</w:t>
      </w:r>
      <w:r w:rsidR="00E666FC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Данный метод позволяет генерировать последовательность состояний модели согласно распределению с весом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exp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-S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6D56635" w14:textId="5D8430D5" w:rsidR="0086035F" w:rsidRPr="0086035F" w:rsidRDefault="0086035F" w:rsidP="00F26CAB">
      <w:pPr>
        <w:jc w:val="both"/>
        <w:rPr>
          <w:rFonts w:ascii="Times New Roman" w:eastAsiaTheme="minorEastAsia" w:hAnsi="Times New Roman" w:cs="Times New Roman"/>
        </w:rPr>
      </w:pPr>
      <w:r w:rsidRPr="008603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F030DC4" wp14:editId="14F8F7AA">
            <wp:simplePos x="0" y="0"/>
            <wp:positionH relativeFrom="margin">
              <wp:align>right</wp:align>
            </wp:positionH>
            <wp:positionV relativeFrom="margin">
              <wp:posOffset>3392805</wp:posOffset>
            </wp:positionV>
            <wp:extent cx="3448685" cy="1977390"/>
            <wp:effectExtent l="0" t="0" r="0" b="3810"/>
            <wp:wrapSquare wrapText="bothSides"/>
            <wp:docPr id="15220040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5" t="7205" r="6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34E8">
        <w:rPr>
          <w:rFonts w:ascii="Times New Roman" w:hAnsi="Times New Roman" w:cs="Times New Roman"/>
          <w:noProof/>
          <w:sz w:val="24"/>
          <w:szCs w:val="24"/>
        </w:rPr>
        <w:t xml:space="preserve">В четырехмерном </w:t>
      </w:r>
      <w:r w:rsidRPr="0086035F">
        <w:rPr>
          <w:rFonts w:ascii="Times New Roman" w:hAnsi="Times New Roman" w:cs="Times New Roman"/>
          <w:noProof/>
          <w:sz w:val="24"/>
          <w:szCs w:val="24"/>
        </w:rPr>
        <w:t xml:space="preserve">пространстве магнитные токи из монополя </w:t>
      </w:r>
      <w:r w:rsidR="00CC34E8">
        <w:rPr>
          <w:rFonts w:ascii="Times New Roman" w:hAnsi="Times New Roman" w:cs="Times New Roman"/>
          <w:noProof/>
          <w:sz w:val="24"/>
          <w:szCs w:val="24"/>
        </w:rPr>
        <w:t>могут быть направлены</w:t>
      </w:r>
      <w:r w:rsidRPr="0086035F">
        <w:rPr>
          <w:rFonts w:ascii="Times New Roman" w:hAnsi="Times New Roman" w:cs="Times New Roman"/>
          <w:noProof/>
          <w:sz w:val="24"/>
          <w:szCs w:val="24"/>
        </w:rPr>
        <w:t xml:space="preserve"> вдоль четырех осей координат</w:t>
      </w:r>
      <w:r w:rsidR="0079139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CC34E8">
        <w:rPr>
          <w:rFonts w:ascii="Times New Roman" w:eastAsiaTheme="minorEastAsia" w:hAnsi="Times New Roman" w:cs="Times New Roman"/>
          <w:sz w:val="24"/>
          <w:szCs w:val="24"/>
        </w:rPr>
        <w:t>Согласно методу подсчета токов</w:t>
      </w:r>
      <w:r w:rsidR="007B7CCB">
        <w:rPr>
          <w:rFonts w:ascii="Times New Roman" w:eastAsiaTheme="minorEastAsia" w:hAnsi="Times New Roman" w:cs="Times New Roman"/>
          <w:sz w:val="24"/>
          <w:szCs w:val="24"/>
        </w:rPr>
        <w:t xml:space="preserve"> они могут принимать значения из диапазона</w:t>
      </w:r>
      <w:r w:rsidR="007913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0, ±2,±4</m:t>
        </m:r>
      </m:oMath>
      <w:r w:rsidR="007B7CCB">
        <w:rPr>
          <w:rFonts w:ascii="Times New Roman" w:eastAsiaTheme="minorEastAsia" w:hAnsi="Times New Roman" w:cs="Times New Roman"/>
          <w:sz w:val="24"/>
          <w:szCs w:val="24"/>
        </w:rPr>
        <w:t xml:space="preserve">. Построенные </w:t>
      </w:r>
      <w:r w:rsidR="00E029FA">
        <w:rPr>
          <w:rFonts w:ascii="Times New Roman" w:eastAsiaTheme="minorEastAsia" w:hAnsi="Times New Roman" w:cs="Times New Roman"/>
          <w:sz w:val="24"/>
          <w:szCs w:val="24"/>
        </w:rPr>
        <w:t>двумерн</w:t>
      </w:r>
      <w:r w:rsidR="007B7CCB">
        <w:rPr>
          <w:rFonts w:ascii="Times New Roman" w:eastAsiaTheme="minorEastAsia" w:hAnsi="Times New Roman" w:cs="Times New Roman"/>
          <w:sz w:val="24"/>
          <w:szCs w:val="24"/>
        </w:rPr>
        <w:t>ые</w:t>
      </w:r>
      <w:r w:rsidR="00E029FA">
        <w:rPr>
          <w:rFonts w:ascii="Times New Roman" w:eastAsiaTheme="minorEastAsia" w:hAnsi="Times New Roman" w:cs="Times New Roman"/>
          <w:sz w:val="24"/>
          <w:szCs w:val="24"/>
        </w:rPr>
        <w:t xml:space="preserve"> срез</w:t>
      </w:r>
      <w:r w:rsidR="007B7CCB">
        <w:rPr>
          <w:rFonts w:ascii="Times New Roman" w:eastAsiaTheme="minorEastAsia" w:hAnsi="Times New Roman" w:cs="Times New Roman"/>
          <w:sz w:val="24"/>
          <w:szCs w:val="24"/>
        </w:rPr>
        <w:t xml:space="preserve">ы </w:t>
      </w:r>
      <w:r w:rsidR="0079139C">
        <w:rPr>
          <w:rFonts w:ascii="Times New Roman" w:eastAsiaTheme="minorEastAsia" w:hAnsi="Times New Roman" w:cs="Times New Roman"/>
          <w:sz w:val="24"/>
          <w:szCs w:val="24"/>
        </w:rPr>
        <w:t>решетк</w:t>
      </w:r>
      <w:r w:rsidR="00E029FA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B15E92" w:rsidRPr="00B15E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7CCB">
        <w:rPr>
          <w:rFonts w:ascii="Times New Roman" w:eastAsiaTheme="minorEastAsia" w:hAnsi="Times New Roman" w:cs="Times New Roman"/>
          <w:sz w:val="24"/>
          <w:szCs w:val="24"/>
        </w:rPr>
        <w:t xml:space="preserve">(в разных направлениях) при </w:t>
      </w:r>
      <m:oMath>
        <m:r>
          <w:rPr>
            <w:rFonts w:ascii="Cambria Math" w:hAnsi="Cambria Math"/>
          </w:rPr>
          <m:t>β=0,5</m:t>
        </m:r>
      </m:oMath>
      <w:r w:rsidR="007B7CCB">
        <w:rPr>
          <w:rFonts w:ascii="Times New Roman" w:eastAsiaTheme="minorEastAsia" w:hAnsi="Times New Roman" w:cs="Times New Roman"/>
        </w:rPr>
        <w:t xml:space="preserve"> </w:t>
      </w:r>
      <w:r w:rsidR="007B7CCB">
        <w:rPr>
          <w:rFonts w:ascii="Times New Roman" w:eastAsiaTheme="minorEastAsia" w:hAnsi="Times New Roman" w:cs="Times New Roman"/>
          <w:sz w:val="24"/>
          <w:szCs w:val="24"/>
        </w:rPr>
        <w:t>позволяют увидеть</w:t>
      </w:r>
      <w:r w:rsidR="0079139C" w:rsidRPr="00E029FA">
        <w:rPr>
          <w:rFonts w:ascii="Times New Roman" w:eastAsiaTheme="minorEastAsia" w:hAnsi="Times New Roman" w:cs="Times New Roman"/>
          <w:sz w:val="24"/>
          <w:szCs w:val="24"/>
        </w:rPr>
        <w:t xml:space="preserve"> фазовый переход </w:t>
      </w:r>
      <w:r w:rsidR="007B7CCB">
        <w:rPr>
          <w:rFonts w:ascii="Times New Roman" w:eastAsiaTheme="minorEastAsia" w:hAnsi="Times New Roman" w:cs="Times New Roman"/>
          <w:sz w:val="24"/>
          <w:szCs w:val="24"/>
        </w:rPr>
        <w:t xml:space="preserve">по образованию комплексов сильно связанных монополей в окрестности точки </w:t>
      </w:r>
      <m:oMath>
        <m:r>
          <w:rPr>
            <w:rFonts w:ascii="Cambria Math" w:hAnsi="Cambria Math"/>
            <w:sz w:val="24"/>
            <w:szCs w:val="24"/>
          </w:rPr>
          <m:t>λ=-0,6</m:t>
        </m:r>
      </m:oMath>
      <w:r w:rsidR="00E565B0">
        <w:rPr>
          <w:rFonts w:ascii="Times New Roman" w:eastAsiaTheme="minorEastAsia" w:hAnsi="Times New Roman" w:cs="Times New Roman"/>
        </w:rPr>
        <w:t>.</w:t>
      </w:r>
    </w:p>
    <w:p w14:paraId="5D7575A9" w14:textId="30F8678E" w:rsidR="00E029FA" w:rsidRPr="005F08FC" w:rsidRDefault="00E029FA" w:rsidP="00F26CAB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029FA">
        <w:rPr>
          <w:rFonts w:ascii="Times New Roman" w:eastAsiaTheme="minorEastAsia" w:hAnsi="Times New Roman" w:cs="Times New Roman"/>
          <w:sz w:val="24"/>
          <w:szCs w:val="24"/>
        </w:rPr>
        <w:t xml:space="preserve">Также </w:t>
      </w:r>
      <w:r w:rsidR="006F74C5">
        <w:rPr>
          <w:rFonts w:ascii="Times New Roman" w:eastAsiaTheme="minorEastAsia" w:hAnsi="Times New Roman" w:cs="Times New Roman"/>
          <w:sz w:val="24"/>
          <w:szCs w:val="24"/>
        </w:rPr>
        <w:t xml:space="preserve">были </w:t>
      </w:r>
      <w:r>
        <w:rPr>
          <w:rFonts w:ascii="Times New Roman" w:eastAsiaTheme="minorEastAsia" w:hAnsi="Times New Roman" w:cs="Times New Roman"/>
          <w:sz w:val="24"/>
          <w:szCs w:val="24"/>
        </w:rPr>
        <w:t>рассм</w:t>
      </w:r>
      <w:r w:rsidR="00D104C6">
        <w:rPr>
          <w:rFonts w:ascii="Times New Roman" w:eastAsiaTheme="minorEastAsia" w:hAnsi="Times New Roman" w:cs="Times New Roman"/>
          <w:sz w:val="24"/>
          <w:szCs w:val="24"/>
        </w:rPr>
        <w:t>о</w:t>
      </w:r>
      <w:r>
        <w:rPr>
          <w:rFonts w:ascii="Times New Roman" w:eastAsiaTheme="minorEastAsia" w:hAnsi="Times New Roman" w:cs="Times New Roman"/>
          <w:sz w:val="24"/>
          <w:szCs w:val="24"/>
        </w:rPr>
        <w:t>тр</w:t>
      </w:r>
      <w:r w:rsidR="006F74C5">
        <w:rPr>
          <w:rFonts w:ascii="Times New Roman" w:eastAsiaTheme="minorEastAsia" w:hAnsi="Times New Roman" w:cs="Times New Roman"/>
          <w:sz w:val="24"/>
          <w:szCs w:val="24"/>
        </w:rPr>
        <w:t xml:space="preserve">ены </w:t>
      </w:r>
      <w:r w:rsidR="00570F48">
        <w:rPr>
          <w:rFonts w:ascii="Times New Roman" w:eastAsiaTheme="minorEastAsia" w:hAnsi="Times New Roman" w:cs="Times New Roman"/>
          <w:sz w:val="24"/>
          <w:szCs w:val="24"/>
        </w:rPr>
        <w:t>пары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70F48">
        <w:rPr>
          <w:rFonts w:ascii="Times New Roman" w:eastAsiaTheme="minorEastAsia" w:hAnsi="Times New Roman" w:cs="Times New Roman"/>
          <w:sz w:val="24"/>
          <w:szCs w:val="24"/>
        </w:rPr>
        <w:t>разных направлени</w:t>
      </w:r>
      <w:r w:rsidR="005F08FC">
        <w:rPr>
          <w:rFonts w:ascii="Times New Roman" w:eastAsiaTheme="minorEastAsia" w:hAnsi="Times New Roman" w:cs="Times New Roman"/>
          <w:sz w:val="24"/>
          <w:szCs w:val="24"/>
        </w:rPr>
        <w:t>й</w:t>
      </w:r>
      <w:r w:rsidR="00570F48">
        <w:rPr>
          <w:rFonts w:ascii="Times New Roman" w:eastAsiaTheme="minorEastAsia" w:hAnsi="Times New Roman" w:cs="Times New Roman"/>
          <w:sz w:val="24"/>
          <w:szCs w:val="24"/>
        </w:rPr>
        <w:t xml:space="preserve"> токов в одном срезе</w:t>
      </w:r>
      <w:r w:rsidR="00D104C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6F74C5">
        <w:rPr>
          <w:rFonts w:ascii="Times New Roman" w:eastAsiaTheme="minorEastAsia" w:hAnsi="Times New Roman" w:cs="Times New Roman"/>
          <w:sz w:val="24"/>
          <w:szCs w:val="24"/>
        </w:rPr>
        <w:t>например, в</w:t>
      </w:r>
      <w:r w:rsidR="00D104C6">
        <w:rPr>
          <w:rFonts w:ascii="Times New Roman" w:eastAsiaTheme="minorEastAsia" w:hAnsi="Times New Roman" w:cs="Times New Roman"/>
          <w:sz w:val="24"/>
          <w:szCs w:val="24"/>
        </w:rPr>
        <w:t xml:space="preserve"> направлениях 1, 3. </w:t>
      </w:r>
      <w:r w:rsidR="00794B6A" w:rsidRPr="00794B6A">
        <w:rPr>
          <w:rFonts w:ascii="Times New Roman" w:eastAsiaTheme="minorEastAsia" w:hAnsi="Times New Roman" w:cs="Times New Roman"/>
          <w:sz w:val="24"/>
          <w:szCs w:val="24"/>
        </w:rPr>
        <w:t xml:space="preserve">Наблюдается сильная корреляция в области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λ</m:t>
        </m:r>
        <m:r>
          <w:rPr>
            <w:rFonts w:ascii="Cambria Math" w:eastAsiaTheme="minorEastAsia" w:hAnsi="Cambria Math" w:cs="Cambria Math"/>
            <w:sz w:val="24"/>
            <w:szCs w:val="24"/>
          </w:rPr>
          <m:t>∈</m:t>
        </m:r>
        <m:r>
          <w:rPr>
            <w:rFonts w:ascii="Cambria Math" w:eastAsiaTheme="minorEastAsia" w:hAnsi="Cambria Math" w:cs="Times New Roman"/>
            <w:sz w:val="24"/>
            <w:szCs w:val="24"/>
          </w:rPr>
          <m:t>(-0,8; -0,6)</m:t>
        </m:r>
      </m:oMath>
      <w:r w:rsidR="00794B6A" w:rsidRPr="00794B6A">
        <w:rPr>
          <w:rFonts w:ascii="Times New Roman" w:eastAsiaTheme="minorEastAsia" w:hAnsi="Times New Roman" w:cs="Times New Roman"/>
          <w:sz w:val="24"/>
          <w:szCs w:val="24"/>
        </w:rPr>
        <w:t xml:space="preserve"> и слабая корреляция, то есть независимость направлений токов, в области (-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0,6; -0,4)</m:t>
        </m:r>
      </m:oMath>
      <w:r w:rsidR="00794B6A" w:rsidRPr="00794B6A">
        <w:rPr>
          <w:rFonts w:ascii="Times New Roman" w:eastAsiaTheme="minorEastAsia" w:hAnsi="Times New Roman" w:cs="Times New Roman"/>
          <w:sz w:val="24"/>
          <w:szCs w:val="24"/>
        </w:rPr>
        <w:t xml:space="preserve">. Между данными областями происходит фазовый переход. Каждая линия — независимое измерение, </w:t>
      </w:r>
      <w:r w:rsidR="00794B6A">
        <w:rPr>
          <w:rFonts w:ascii="Times New Roman" w:eastAsiaTheme="minorEastAsia" w:hAnsi="Times New Roman" w:cs="Times New Roman"/>
          <w:sz w:val="24"/>
          <w:szCs w:val="24"/>
        </w:rPr>
        <w:t>их устойчивость между вычислениями</w:t>
      </w:r>
      <w:r w:rsidR="00794B6A" w:rsidRPr="00794B6A">
        <w:rPr>
          <w:rFonts w:ascii="Times New Roman" w:eastAsiaTheme="minorEastAsia" w:hAnsi="Times New Roman" w:cs="Times New Roman"/>
          <w:sz w:val="24"/>
          <w:szCs w:val="24"/>
        </w:rPr>
        <w:t xml:space="preserve"> свидетельствует о стабильности корреляций в процессе эволюции системы.</w:t>
      </w:r>
    </w:p>
    <w:p w14:paraId="704B88AB" w14:textId="516169B4" w:rsidR="00D104C6" w:rsidRPr="00D104C6" w:rsidRDefault="00D104C6" w:rsidP="00F26CA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104C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66BCAB0" wp14:editId="2E41F02D">
            <wp:extent cx="5183173" cy="3057754"/>
            <wp:effectExtent l="0" t="0" r="0" b="9525"/>
            <wp:docPr id="102422264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18" cy="311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777FD" w14:textId="7F3B7A39" w:rsidR="00D104C6" w:rsidRPr="00D104C6" w:rsidRDefault="00D104C6" w:rsidP="00F26CA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Полученный результат указывает на наличие ближнего порядка магнитных монополей</w:t>
      </w:r>
      <w:r w:rsidR="00B15E9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55AAE0A" w14:textId="77777777" w:rsidR="000A7F4E" w:rsidRPr="00B15E92" w:rsidRDefault="000A7F4E" w:rsidP="008B4F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6EF1A2" w14:textId="7D873789" w:rsidR="007F1F37" w:rsidRPr="003742D0" w:rsidRDefault="007F1F37" w:rsidP="007F1F37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2D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1BB9F69" w14:textId="77777777" w:rsidR="002C5294" w:rsidRPr="002C5294" w:rsidRDefault="002C5294" w:rsidP="00F501C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294">
        <w:rPr>
          <w:rFonts w:ascii="Times New Roman" w:hAnsi="Times New Roman" w:cs="Times New Roman"/>
          <w:sz w:val="24"/>
          <w:szCs w:val="24"/>
          <w:lang w:val="en-US"/>
        </w:rPr>
        <w:t>DeGrand T. A., Toussaint D. Topological excitations and Monte Carlo simulation of Abelian gauge theory // Physical Review D. — 1980. — Vol. 22. — P. 2478. DOI: 10.1103/PhysRevD.22.2478.</w:t>
      </w:r>
    </w:p>
    <w:p w14:paraId="30113EED" w14:textId="55DF699E" w:rsidR="003742D0" w:rsidRPr="00F501C7" w:rsidRDefault="002C5294" w:rsidP="00F501C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5294">
        <w:rPr>
          <w:rFonts w:ascii="Times New Roman" w:hAnsi="Times New Roman" w:cs="Times New Roman"/>
          <w:sz w:val="24"/>
          <w:szCs w:val="24"/>
          <w:lang w:val="en-US"/>
        </w:rPr>
        <w:t xml:space="preserve">Ejiri S., Horikoshi Y. Gradient flow, confinement, and magnetic monopole in </w:t>
      </w:r>
      <w:proofErr w:type="gramStart"/>
      <w:r w:rsidRPr="002C5294">
        <w:rPr>
          <w:rFonts w:ascii="Times New Roman" w:hAnsi="Times New Roman" w:cs="Times New Roman"/>
          <w:sz w:val="24"/>
          <w:szCs w:val="24"/>
          <w:lang w:val="en-US"/>
        </w:rPr>
        <w:t>U(</w:t>
      </w:r>
      <w:proofErr w:type="gramEnd"/>
      <w:r w:rsidRPr="002C5294">
        <w:rPr>
          <w:rFonts w:ascii="Times New Roman" w:hAnsi="Times New Roman" w:cs="Times New Roman"/>
          <w:sz w:val="24"/>
          <w:szCs w:val="24"/>
          <w:lang w:val="en-US"/>
        </w:rPr>
        <w:t>1) lattice gauge theory // Physical Review D. — 2023. — Vol. 108. — P. 034506. DOI: 10.1103/PhysRevD.108.034506.</w:t>
      </w:r>
    </w:p>
    <w:sectPr w:rsidR="003742D0" w:rsidRPr="00F501C7" w:rsidSect="00292BDE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16E8C"/>
    <w:multiLevelType w:val="hybridMultilevel"/>
    <w:tmpl w:val="ED8EF82E"/>
    <w:lvl w:ilvl="0" w:tplc="2DF68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E1"/>
    <w:rsid w:val="000A1AC1"/>
    <w:rsid w:val="000A7F4E"/>
    <w:rsid w:val="00112C31"/>
    <w:rsid w:val="00236B80"/>
    <w:rsid w:val="002544B0"/>
    <w:rsid w:val="00292BDE"/>
    <w:rsid w:val="002C5294"/>
    <w:rsid w:val="003622E1"/>
    <w:rsid w:val="003742D0"/>
    <w:rsid w:val="003D74E4"/>
    <w:rsid w:val="004025DC"/>
    <w:rsid w:val="004B3105"/>
    <w:rsid w:val="00570F48"/>
    <w:rsid w:val="005F08FC"/>
    <w:rsid w:val="006C17F1"/>
    <w:rsid w:val="006F74C5"/>
    <w:rsid w:val="007126CA"/>
    <w:rsid w:val="0079139C"/>
    <w:rsid w:val="00794B6A"/>
    <w:rsid w:val="007B7CCB"/>
    <w:rsid w:val="007F1F37"/>
    <w:rsid w:val="0086035F"/>
    <w:rsid w:val="008B4FEA"/>
    <w:rsid w:val="008C0BDC"/>
    <w:rsid w:val="009276D2"/>
    <w:rsid w:val="00954A8D"/>
    <w:rsid w:val="009A3FD0"/>
    <w:rsid w:val="009A47DB"/>
    <w:rsid w:val="009B23AC"/>
    <w:rsid w:val="009C6027"/>
    <w:rsid w:val="009F7DC4"/>
    <w:rsid w:val="00A24C20"/>
    <w:rsid w:val="00B04978"/>
    <w:rsid w:val="00B15E92"/>
    <w:rsid w:val="00CC34E8"/>
    <w:rsid w:val="00D104C6"/>
    <w:rsid w:val="00D24FDD"/>
    <w:rsid w:val="00E029FA"/>
    <w:rsid w:val="00E565B0"/>
    <w:rsid w:val="00E666FC"/>
    <w:rsid w:val="00EC5CAD"/>
    <w:rsid w:val="00EF0869"/>
    <w:rsid w:val="00F26CAB"/>
    <w:rsid w:val="00F501C7"/>
    <w:rsid w:val="00FC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9548"/>
  <w15:chartTrackingRefBased/>
  <w15:docId w15:val="{3AB4D007-4ACB-49A5-8552-0F2B6C18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2D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8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622E1"/>
    <w:rPr>
      <w:i/>
      <w:iCs/>
    </w:rPr>
  </w:style>
  <w:style w:type="character" w:styleId="a4">
    <w:name w:val="Hyperlink"/>
    <w:basedOn w:val="a0"/>
    <w:uiPriority w:val="99"/>
    <w:unhideWhenUsed/>
    <w:rsid w:val="00292B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2B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742D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B15E92"/>
    <w:rPr>
      <w:color w:val="666666"/>
    </w:rPr>
  </w:style>
  <w:style w:type="character" w:customStyle="1" w:styleId="20">
    <w:name w:val="Заголовок 2 Знак"/>
    <w:basedOn w:val="a0"/>
    <w:link w:val="2"/>
    <w:uiPriority w:val="9"/>
    <w:semiHidden/>
    <w:rsid w:val="005F08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XuX08</b:Tag>
    <b:SourceType>JournalArticle</b:SourceType>
    <b:Guid>{294B5849-2416-4DF2-A38F-7A9F220FDA3C}</b:Guid>
    <b:Title>A review of dosimetry studies on external-beam</b:Title>
    <b:Year>2008</b:Year>
    <b:Author>
      <b:Author>
        <b:NameList>
          <b:Person>
            <b:Last>Xu X.G.</b:Last>
            <b:First>Bednarz</b:First>
            <b:Middle>B., Paganetti H.</b:Middle>
          </b:Person>
        </b:NameList>
      </b:Author>
    </b:Author>
    <b:JournalName>Phys. Med. Biol.</b:JournalName>
    <b:Pages>Vol. 53, P. R193–R241</b:Pages>
    <b:RefOrder>1</b:RefOrder>
  </b:Source>
</b:Sources>
</file>

<file path=customXml/itemProps1.xml><?xml version="1.0" encoding="utf-8"?>
<ds:datastoreItem xmlns:ds="http://schemas.openxmlformats.org/officeDocument/2006/customXml" ds:itemID="{C803F117-2252-4910-BC2A-B0C6849C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 Windows</cp:lastModifiedBy>
  <cp:revision>10</cp:revision>
  <dcterms:created xsi:type="dcterms:W3CDTF">2026-03-01T22:35:00Z</dcterms:created>
  <dcterms:modified xsi:type="dcterms:W3CDTF">2026-03-02T09:44:00Z</dcterms:modified>
</cp:coreProperties>
</file>