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25BB" w:rsidRDefault="00041D99" w:rsidP="00041D99">
      <w:pPr>
        <w:tabs>
          <w:tab w:val="left" w:pos="60"/>
          <w:tab w:val="left" w:pos="2880"/>
        </w:tabs>
        <w:spacing w:after="0" w:line="240" w:lineRule="auto"/>
        <w:ind w:firstLine="397"/>
        <w:jc w:val="center"/>
      </w:pPr>
      <w:r w:rsidRPr="00041D9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Моделирование деградации и восстановления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поляризации в </w:t>
      </w:r>
      <w:r w:rsidRPr="00041D9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сегнетоэлектрической памяти на основе </w:t>
      </w:r>
      <w:r w:rsidRPr="00F66F4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оксида гафния-циркония</w:t>
      </w:r>
      <w:r w:rsidRPr="00041D9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с учетом </w:t>
      </w:r>
      <w:r w:rsidRPr="00F66F4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инжекции заряда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на интерфейсе</w:t>
      </w:r>
    </w:p>
    <w:p w:rsidR="007525BB" w:rsidRPr="00B27930" w:rsidRDefault="00041D99">
      <w:pPr>
        <w:pStyle w:val="a9"/>
        <w:spacing w:after="0" w:line="240" w:lineRule="auto"/>
        <w:ind w:firstLine="39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2793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Щербаков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А. А.</w:t>
      </w:r>
    </w:p>
    <w:p w:rsidR="007525BB" w:rsidRPr="00B27930" w:rsidRDefault="00041D99">
      <w:pPr>
        <w:pStyle w:val="a9"/>
        <w:spacing w:after="0" w:line="240" w:lineRule="auto"/>
        <w:ind w:firstLine="397"/>
        <w:jc w:val="center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 w:rsidRPr="00B2793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студент</w:t>
      </w:r>
    </w:p>
    <w:p w:rsidR="007525BB" w:rsidRPr="00B27930" w:rsidRDefault="00041D99">
      <w:pPr>
        <w:pStyle w:val="a9"/>
        <w:spacing w:after="0" w:line="240" w:lineRule="auto"/>
        <w:ind w:firstLine="397"/>
        <w:jc w:val="center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 w:rsidRPr="00B2793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Московский физико-технический институт (национальный исследовательский университет),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Долгопрудный, Россия</w:t>
      </w:r>
    </w:p>
    <w:p w:rsidR="007525BB" w:rsidRPr="00B27930" w:rsidRDefault="00041D99">
      <w:pPr>
        <w:pStyle w:val="a9"/>
        <w:spacing w:after="0" w:line="240" w:lineRule="auto"/>
        <w:ind w:firstLine="397"/>
        <w:jc w:val="center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/>
        </w:rPr>
        <w:t>E</w:t>
      </w:r>
      <w:r w:rsidRPr="00B2793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/>
        </w:rPr>
        <w:t>mail</w:t>
      </w:r>
      <w:r w:rsidRPr="00B2793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/>
        </w:rPr>
        <w:t>artemashch</w:t>
      </w:r>
      <w:proofErr w:type="spellEnd"/>
      <w:r w:rsidRPr="00B2793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@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/>
        </w:rPr>
        <w:t>yandex</w:t>
      </w:r>
      <w:proofErr w:type="spellEnd"/>
      <w:r w:rsidRPr="00B2793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.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/>
        </w:rPr>
        <w:t>ru</w:t>
      </w:r>
      <w:proofErr w:type="spellEnd"/>
    </w:p>
    <w:p w:rsidR="007525BB" w:rsidRPr="00B27930" w:rsidRDefault="00041D99" w:rsidP="00B27930">
      <w:pPr>
        <w:pStyle w:val="a9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279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Сегнетоэлектрическая энергонезависимая память на основе оксида гафния-циркония </w:t>
      </w:r>
      <w:r w:rsidR="000F6F69"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 w:rsidR="000F6F69" w:rsidRPr="00F66F46">
        <w:rPr>
          <w:rFonts w:ascii="Times New Roman" w:eastAsia="Times New Roman" w:hAnsi="Times New Roman" w:cs="Times New Roman"/>
          <w:color w:val="000000"/>
          <w:sz w:val="24"/>
          <w:szCs w:val="24"/>
        </w:rPr>
        <w:t>Hf</w:t>
      </w:r>
      <w:r w:rsidR="000F6F69" w:rsidRPr="00F66F46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</w:rPr>
        <w:t>0.5</w:t>
      </w:r>
      <w:r w:rsidR="000F6F69" w:rsidRPr="00F66F46">
        <w:rPr>
          <w:rFonts w:ascii="Times New Roman" w:eastAsia="Times New Roman" w:hAnsi="Times New Roman" w:cs="Times New Roman"/>
          <w:color w:val="000000"/>
          <w:sz w:val="24"/>
          <w:szCs w:val="24"/>
        </w:rPr>
        <w:t>Zr</w:t>
      </w:r>
      <w:r w:rsidR="000F6F69" w:rsidRPr="00F66F46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</w:rPr>
        <w:t>0.5</w:t>
      </w:r>
      <w:r w:rsidR="000F6F69" w:rsidRPr="00F66F46"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 w:rsidR="000F6F69" w:rsidRPr="00F66F46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</w:rPr>
        <w:t>2</w:t>
      </w:r>
      <w:r w:rsidR="000F6F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</w:t>
      </w:r>
      <w:r w:rsidRPr="00B27930">
        <w:rPr>
          <w:rFonts w:ascii="Times New Roman" w:eastAsia="Times New Roman" w:hAnsi="Times New Roman" w:cs="Times New Roman"/>
          <w:color w:val="000000"/>
          <w:sz w:val="24"/>
          <w:szCs w:val="24"/>
        </w:rPr>
        <w:t>обладает множеством преимуществ, таких как высокая скорость работы, низкое энергопотребление и рекордный срок службы [1-3]. Однако у нее также есть существенный недостаток, препятствующий коммерциализации этой технологии и доведению ее до уровня промышленного производства, а именно</w:t>
      </w:r>
      <w:r w:rsidR="000F6F69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B279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ограниченное время хранения информации. Это вызвано тем, что при старении </w:t>
      </w:r>
      <w:proofErr w:type="gramStart"/>
      <w:r w:rsidRPr="00B27930">
        <w:rPr>
          <w:rFonts w:ascii="Times New Roman" w:eastAsia="Times New Roman" w:hAnsi="Times New Roman" w:cs="Times New Roman"/>
          <w:color w:val="000000"/>
          <w:sz w:val="24"/>
          <w:szCs w:val="24"/>
        </w:rPr>
        <w:t>вольт-амперная</w:t>
      </w:r>
      <w:proofErr w:type="gramEnd"/>
      <w:r w:rsidRPr="00B279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характеристика </w:t>
      </w:r>
      <w:r w:rsidR="000F6F69">
        <w:rPr>
          <w:rFonts w:ascii="Times New Roman" w:eastAsia="Times New Roman" w:hAnsi="Times New Roman" w:cs="Times New Roman"/>
          <w:color w:val="000000"/>
          <w:sz w:val="24"/>
          <w:szCs w:val="24"/>
        </w:rPr>
        <w:t>элемента памяти</w:t>
      </w:r>
      <w:r w:rsidR="000F6F69" w:rsidRPr="00B279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0F6F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сдвигается вдоль оси напряжения (так называемый эффект </w:t>
      </w:r>
      <w:proofErr w:type="spellStart"/>
      <w:r w:rsidR="000F6F69">
        <w:rPr>
          <w:rFonts w:ascii="Times New Roman" w:eastAsia="Times New Roman" w:hAnsi="Times New Roman" w:cs="Times New Roman"/>
          <w:color w:val="000000"/>
          <w:sz w:val="24"/>
          <w:szCs w:val="24"/>
        </w:rPr>
        <w:t>импринта</w:t>
      </w:r>
      <w:proofErr w:type="spellEnd"/>
      <w:r w:rsidR="000F6F69">
        <w:rPr>
          <w:rFonts w:ascii="Times New Roman" w:eastAsia="Times New Roman" w:hAnsi="Times New Roman" w:cs="Times New Roman"/>
          <w:color w:val="000000"/>
          <w:sz w:val="24"/>
          <w:szCs w:val="24"/>
        </w:rPr>
        <w:t>),</w:t>
      </w:r>
      <w:r w:rsidR="000F6F69" w:rsidRPr="00B279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27930">
        <w:rPr>
          <w:rFonts w:ascii="Times New Roman" w:eastAsia="Times New Roman" w:hAnsi="Times New Roman" w:cs="Times New Roman"/>
          <w:color w:val="000000"/>
          <w:sz w:val="24"/>
          <w:szCs w:val="24"/>
        </w:rPr>
        <w:t>и напряжение, требуемое для считывания данных, увеличивается, что в свою очередь может приводить к ошибкам</w:t>
      </w:r>
      <w:r w:rsidR="000F6F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считывания</w:t>
      </w:r>
      <w:r w:rsidRPr="00B27930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6E4BCB" w:rsidRPr="00B27930" w:rsidRDefault="00041D99" w:rsidP="006E4BCB">
      <w:pPr>
        <w:pStyle w:val="a9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27930">
        <w:rPr>
          <w:rFonts w:ascii="Times New Roman" w:eastAsia="Times New Roman" w:hAnsi="Times New Roman" w:cs="Times New Roman"/>
          <w:color w:val="000000"/>
          <w:sz w:val="24"/>
          <w:szCs w:val="24"/>
        </w:rPr>
        <w:t>В данной работе предл</w:t>
      </w:r>
      <w:r w:rsidR="000F6F69">
        <w:rPr>
          <w:rFonts w:ascii="Times New Roman" w:eastAsia="Times New Roman" w:hAnsi="Times New Roman" w:cs="Times New Roman"/>
          <w:color w:val="000000"/>
          <w:sz w:val="24"/>
          <w:szCs w:val="24"/>
        </w:rPr>
        <w:t>ожена</w:t>
      </w:r>
      <w:r w:rsidRPr="00B279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модель для расчета динамики характеристик элемента памяти при любом сценарии использования [4]. В частности, модель учитывает многократные циклы записи-сохранения-чтения-перезаписи, колебания температуры, которым неизбежно подвергается микросхема памяти</w:t>
      </w:r>
      <w:r w:rsidR="000F6F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при эксплуатации,</w:t>
      </w:r>
      <w:r w:rsidRPr="00B279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влияние выбранной рабочей частоты. Помимо этого, модель позволяет анализировать процедуру восстановления ячейки памяти после ее старения с помощью серии биполярных импульсов. Данная процедура рассматривается как один из вариантов увеличения времени хранения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информации</w:t>
      </w:r>
      <w:r w:rsidRPr="00B27930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0F6F69" w:rsidRDefault="00041D99">
      <w:pPr>
        <w:pStyle w:val="a9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279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Модель основана на динамике переключения поляризации, описываемой уравнением Ландау-Халатникова, и эффекте </w:t>
      </w:r>
      <w:proofErr w:type="spellStart"/>
      <w:r w:rsidRPr="00B27930">
        <w:rPr>
          <w:rFonts w:ascii="Times New Roman" w:eastAsia="Times New Roman" w:hAnsi="Times New Roman" w:cs="Times New Roman"/>
          <w:color w:val="000000"/>
          <w:sz w:val="24"/>
          <w:szCs w:val="24"/>
        </w:rPr>
        <w:t>импринта</w:t>
      </w:r>
      <w:proofErr w:type="spellEnd"/>
      <w:r w:rsidR="000F6F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279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[5], который описывается усовершенствованной моделью Таганцева и др. [5].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Данная модель</w:t>
      </w:r>
      <w:r w:rsidRPr="00B279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базируется на концепции «мёртвого слоя»,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которая заключается в том</w:t>
      </w:r>
      <w:r w:rsidRPr="00B279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что на границе раздела между сегнетоэлектриком и электродом образуется диэлектрический слой, разделяющий таким образом поляризационный заряд в сегнетоэлектрике и свободные электроны на электроде. Из-за этого в диэлектрике возникает сильное электрическое поле, под воздействием которого электроны проходят через него и захватываются ловушками на границе раздела фаз. </w:t>
      </w:r>
      <w:r w:rsidR="000F6F69">
        <w:rPr>
          <w:rFonts w:ascii="Times New Roman" w:eastAsia="Times New Roman" w:hAnsi="Times New Roman" w:cs="Times New Roman"/>
          <w:color w:val="000000"/>
          <w:sz w:val="24"/>
          <w:szCs w:val="24"/>
        </w:rPr>
        <w:t>В развитие м</w:t>
      </w:r>
      <w:r w:rsidRPr="00B27930">
        <w:rPr>
          <w:rFonts w:ascii="Times New Roman" w:eastAsia="Times New Roman" w:hAnsi="Times New Roman" w:cs="Times New Roman"/>
          <w:color w:val="000000"/>
          <w:sz w:val="24"/>
          <w:szCs w:val="24"/>
        </w:rPr>
        <w:t>одел</w:t>
      </w:r>
      <w:r w:rsidR="00FE681F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B279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Таганцева, в данной работе учтено влияние напряжения на скорость </w:t>
      </w:r>
      <w:proofErr w:type="spellStart"/>
      <w:r w:rsidRPr="00B27930">
        <w:rPr>
          <w:rFonts w:ascii="Times New Roman" w:eastAsia="Times New Roman" w:hAnsi="Times New Roman" w:cs="Times New Roman"/>
          <w:color w:val="000000"/>
          <w:sz w:val="24"/>
          <w:szCs w:val="24"/>
        </w:rPr>
        <w:t>импринта</w:t>
      </w:r>
      <w:proofErr w:type="spellEnd"/>
      <w:r w:rsidRPr="00B279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изменение поляризации в процессе инжекции заряда и физические ограничения на </w:t>
      </w:r>
      <w:r w:rsidR="000F6F69">
        <w:rPr>
          <w:rFonts w:ascii="Times New Roman" w:eastAsia="Times New Roman" w:hAnsi="Times New Roman" w:cs="Times New Roman"/>
          <w:color w:val="000000"/>
          <w:sz w:val="24"/>
          <w:szCs w:val="24"/>
        </w:rPr>
        <w:t>количество</w:t>
      </w:r>
      <w:r w:rsidR="000F6F69" w:rsidRPr="00B279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279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инжектированного заряда. </w:t>
      </w:r>
      <w:r w:rsidR="00FE681F" w:rsidRPr="00B279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 использованием модели было исследовано влияние толщины и диэлектрической проницаемости пассивного слоя на процессы инжекции и эмиссии заряда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как при старении образца</w:t>
      </w:r>
      <w:r w:rsidR="00FE68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(хранение информации)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так</w:t>
      </w:r>
      <w:r w:rsidRPr="00B279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при </w:t>
      </w:r>
      <w:r w:rsidR="000F6F69">
        <w:rPr>
          <w:rFonts w:ascii="Times New Roman" w:eastAsia="Times New Roman" w:hAnsi="Times New Roman" w:cs="Times New Roman"/>
          <w:color w:val="000000"/>
          <w:sz w:val="24"/>
          <w:szCs w:val="24"/>
        </w:rPr>
        <w:t>считывании</w:t>
      </w:r>
      <w:r w:rsidR="000F6F69" w:rsidRPr="00B279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279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поляризации, а также на форму </w:t>
      </w:r>
      <w:r w:rsidRPr="00B27930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P-V</w:t>
      </w:r>
      <w:r w:rsidRPr="00B279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кривой и частотные характеристики. </w:t>
      </w:r>
      <w:r w:rsidR="000F6F69" w:rsidRPr="000F6F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Для верификации подхода было выполнено моделирование ряда реальных сценариев работы сегнетоэлектрических конденсаторов на основе </w:t>
      </w:r>
      <w:r w:rsidR="000F6F69" w:rsidRPr="00F66F46">
        <w:rPr>
          <w:rFonts w:ascii="Times New Roman" w:eastAsia="Times New Roman" w:hAnsi="Times New Roman" w:cs="Times New Roman"/>
          <w:color w:val="000000"/>
          <w:sz w:val="24"/>
          <w:szCs w:val="24"/>
        </w:rPr>
        <w:t>Hf</w:t>
      </w:r>
      <w:r w:rsidR="000F6F69" w:rsidRPr="00F66F46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</w:rPr>
        <w:t>0.5</w:t>
      </w:r>
      <w:r w:rsidR="000F6F69" w:rsidRPr="00F66F46">
        <w:rPr>
          <w:rFonts w:ascii="Times New Roman" w:eastAsia="Times New Roman" w:hAnsi="Times New Roman" w:cs="Times New Roman"/>
          <w:color w:val="000000"/>
          <w:sz w:val="24"/>
          <w:szCs w:val="24"/>
        </w:rPr>
        <w:t>Zr</w:t>
      </w:r>
      <w:r w:rsidR="000F6F69" w:rsidRPr="00F66F46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</w:rPr>
        <w:t>0.5</w:t>
      </w:r>
      <w:r w:rsidR="000F6F69" w:rsidRPr="00F66F46"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 w:rsidR="000F6F69" w:rsidRPr="00F66F46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</w:rPr>
        <w:t>2</w:t>
      </w:r>
      <w:r w:rsidR="000F6F69" w:rsidRPr="000F6F69">
        <w:rPr>
          <w:rFonts w:ascii="Times New Roman" w:eastAsia="Times New Roman" w:hAnsi="Times New Roman" w:cs="Times New Roman"/>
          <w:color w:val="000000"/>
          <w:sz w:val="24"/>
          <w:szCs w:val="24"/>
        </w:rPr>
        <w:t>. Полученные результаты показали хорошее соответствие с экспериментальными данными.</w:t>
      </w:r>
    </w:p>
    <w:p w:rsidR="00FE681F" w:rsidRPr="00B27930" w:rsidRDefault="00FE681F">
      <w:pPr>
        <w:pStyle w:val="a9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B27930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Работа выполнена при поддержке Министерства науки и высшего образования Российской </w:t>
      </w:r>
      <w:r w:rsidR="00770B07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Ф</w:t>
      </w:r>
      <w:r w:rsidRPr="00B27930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едерации (Соглашение № 075-03-2026-305, проект FSMG-2025-0025).</w:t>
      </w:r>
    </w:p>
    <w:p w:rsidR="007525BB" w:rsidRPr="00B27930" w:rsidRDefault="007525BB" w:rsidP="00B27930">
      <w:pPr>
        <w:pStyle w:val="a9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62358" w:rsidRPr="006E4BCB" w:rsidRDefault="00262358" w:rsidP="00262358">
      <w:pPr>
        <w:pStyle w:val="a9"/>
        <w:numPr>
          <w:ilvl w:val="0"/>
          <w:numId w:val="8"/>
        </w:num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proofErr w:type="spellStart"/>
      <w:r w:rsidRPr="0069507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Böscke</w:t>
      </w:r>
      <w:proofErr w:type="spellEnd"/>
      <w:r w:rsidRPr="0069507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T. S.</w:t>
      </w:r>
      <w:r w:rsidR="0069507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,</w:t>
      </w:r>
      <w:r w:rsidRPr="0069507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et al. </w:t>
      </w:r>
      <w:r w:rsidRPr="006E4BC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Ferroelectricity in hafnium oxide thin films //</w:t>
      </w:r>
      <w:r w:rsidR="006E4BC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6E4BC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Applied Physic</w:t>
      </w:r>
      <w:r w:rsidR="006E4BCB" w:rsidRPr="006E4BC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s Letters. </w:t>
      </w:r>
      <w:r w:rsidRPr="006E4BC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20</w:t>
      </w:r>
      <w:r w:rsidR="006E4BC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08</w:t>
      </w:r>
      <w:r w:rsidRPr="006E4BC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. </w:t>
      </w:r>
      <w:r w:rsidR="006E4BC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V</w:t>
      </w:r>
      <w:r w:rsidRPr="006E4BC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. 99</w:t>
      </w:r>
      <w:r w:rsidR="006E4BC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(</w:t>
      </w:r>
      <w:r w:rsidRPr="006E4BC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10</w:t>
      </w:r>
      <w:r w:rsidR="006E4BC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)</w:t>
      </w:r>
      <w:r w:rsidRPr="006E4BC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.</w:t>
      </w:r>
    </w:p>
    <w:p w:rsidR="006E4BCB" w:rsidRPr="006E4BCB" w:rsidRDefault="006E4BCB" w:rsidP="00262358">
      <w:pPr>
        <w:pStyle w:val="a9"/>
        <w:numPr>
          <w:ilvl w:val="0"/>
          <w:numId w:val="8"/>
        </w:numPr>
        <w:spacing w:before="240" w:after="20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proofErr w:type="spellStart"/>
      <w:r w:rsidRPr="006E4BCB">
        <w:rPr>
          <w:rFonts w:ascii="Times New Roman" w:eastAsia="Times New Roman" w:hAnsi="Times New Roman" w:cs="Times New Roman"/>
          <w:color w:val="000000"/>
          <w:sz w:val="24"/>
          <w:szCs w:val="24"/>
        </w:rPr>
        <w:t>Francois</w:t>
      </w:r>
      <w:proofErr w:type="spellEnd"/>
      <w:r w:rsidRPr="006E4B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T.</w:t>
      </w:r>
      <w:r w:rsidR="0069507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,</w:t>
      </w:r>
      <w:r w:rsidRPr="006E4B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E4BCB">
        <w:rPr>
          <w:rFonts w:ascii="Times New Roman" w:eastAsia="Times New Roman" w:hAnsi="Times New Roman" w:cs="Times New Roman"/>
          <w:color w:val="000000"/>
          <w:sz w:val="24"/>
          <w:szCs w:val="24"/>
        </w:rPr>
        <w:t>et</w:t>
      </w:r>
      <w:proofErr w:type="spellEnd"/>
      <w:r w:rsidRPr="006E4B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E4BCB">
        <w:rPr>
          <w:rFonts w:ascii="Times New Roman" w:eastAsia="Times New Roman" w:hAnsi="Times New Roman" w:cs="Times New Roman"/>
          <w:color w:val="000000"/>
          <w:sz w:val="24"/>
          <w:szCs w:val="24"/>
        </w:rPr>
        <w:t>al</w:t>
      </w:r>
      <w:proofErr w:type="spellEnd"/>
      <w:r w:rsidRPr="006E4B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Pr="006E4BC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Demonstration of B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EOL-compatible ferroelectric Hf</w:t>
      </w:r>
      <w:r w:rsidRPr="006E4BCB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val="en-US"/>
        </w:rPr>
        <w:t>0.5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Zr</w:t>
      </w:r>
      <w:r w:rsidRPr="006E4BCB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val="en-US"/>
        </w:rPr>
        <w:t>0.5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O</w:t>
      </w:r>
      <w:r w:rsidRPr="006E4BCB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val="en-US"/>
        </w:rPr>
        <w:t>2</w:t>
      </w:r>
      <w:r w:rsidRPr="006E4BC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scaled </w:t>
      </w:r>
      <w:proofErr w:type="spellStart"/>
      <w:r w:rsidRPr="006E4BC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FeRAM</w:t>
      </w:r>
      <w:proofErr w:type="spellEnd"/>
      <w:r w:rsidRPr="006E4BC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co-integrated with 130nm CMOS for embedded NVM applications //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6E4BC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IEEE International El</w:t>
      </w:r>
      <w:r w:rsidRPr="006E4BC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ectron Devices Meeting (IEDM).</w:t>
      </w:r>
      <w:r w:rsidRPr="006E4BC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6E4BC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2019.</w:t>
      </w:r>
      <w:r w:rsidRPr="006E4BC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P</w:t>
      </w:r>
      <w:r w:rsidRPr="006E4BC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. 15.7. 1-15.7. </w:t>
      </w:r>
      <w:proofErr w:type="gramStart"/>
      <w:r w:rsidRPr="006E4BC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4</w:t>
      </w:r>
      <w:proofErr w:type="gramEnd"/>
      <w:r w:rsidRPr="006E4BC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.</w:t>
      </w:r>
    </w:p>
    <w:p w:rsidR="00262358" w:rsidRPr="006E4BCB" w:rsidRDefault="00262358" w:rsidP="00262358">
      <w:pPr>
        <w:pStyle w:val="a9"/>
        <w:numPr>
          <w:ilvl w:val="0"/>
          <w:numId w:val="8"/>
        </w:numPr>
        <w:spacing w:before="240" w:after="20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proofErr w:type="spellStart"/>
      <w:r w:rsidRPr="006E4BC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lastRenderedPageBreak/>
        <w:t>Okuno</w:t>
      </w:r>
      <w:proofErr w:type="spellEnd"/>
      <w:r w:rsidRPr="006E4BC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J.</w:t>
      </w:r>
      <w:r w:rsidR="006E4BC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,</w:t>
      </w:r>
      <w:r w:rsidRPr="006E4BC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et al. Reliability Study of 1T1C </w:t>
      </w:r>
      <w:proofErr w:type="spellStart"/>
      <w:r w:rsidRPr="006E4BC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FeRAM</w:t>
      </w:r>
      <w:proofErr w:type="spellEnd"/>
      <w:r w:rsidRPr="006E4BC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Arrays </w:t>
      </w:r>
      <w:proofErr w:type="gramStart"/>
      <w:r w:rsidRPr="006E4BC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With</w:t>
      </w:r>
      <w:proofErr w:type="gramEnd"/>
      <w:r w:rsidRPr="006E4BC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6E4BC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Hf</w:t>
      </w:r>
      <w:proofErr w:type="spellEnd"/>
      <w:r w:rsidRPr="006E4BC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695071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val="en-US"/>
        </w:rPr>
        <w:t>0.5</w:t>
      </w:r>
      <w:r w:rsidR="0069507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Zr</w:t>
      </w:r>
      <w:r w:rsidRPr="00695071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val="en-US"/>
        </w:rPr>
        <w:t>0.5</w:t>
      </w:r>
      <w:r w:rsidRPr="006E4BC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O₂ Thickness Scaling //</w:t>
      </w:r>
      <w:r w:rsidR="006E4BC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6E4BC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IEEE Journal of the Elec</w:t>
      </w:r>
      <w:r w:rsidR="006E4BC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tron Devices Society.</w:t>
      </w:r>
      <w:r w:rsidR="006E4BCB" w:rsidRPr="006E4BC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2022.</w:t>
      </w:r>
      <w:r w:rsidR="006E4BC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V. 10.</w:t>
      </w:r>
      <w:r w:rsidRPr="006E4BC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6E4BC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P</w:t>
      </w:r>
      <w:r w:rsidRPr="006E4BC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. 778-783.</w:t>
      </w:r>
    </w:p>
    <w:p w:rsidR="00262358" w:rsidRPr="006E4BCB" w:rsidRDefault="00262358" w:rsidP="00262358">
      <w:pPr>
        <w:pStyle w:val="a9"/>
        <w:numPr>
          <w:ilvl w:val="0"/>
          <w:numId w:val="8"/>
        </w:numPr>
        <w:spacing w:before="240" w:after="20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proofErr w:type="spellStart"/>
      <w:r w:rsidRPr="006E4BC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Shcherbakov</w:t>
      </w:r>
      <w:proofErr w:type="spellEnd"/>
      <w:r w:rsidRPr="006E4BC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A.</w:t>
      </w:r>
      <w:r w:rsidR="006E4BC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,</w:t>
      </w:r>
      <w:r w:rsidRPr="006E4BC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et al. Evolution of coercive voltage in a ferroe</w:t>
      </w:r>
      <w:r w:rsidR="0069507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lectric memory cell based on Hf</w:t>
      </w:r>
      <w:r w:rsidRPr="00695071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val="en-US"/>
        </w:rPr>
        <w:t>0.5</w:t>
      </w:r>
      <w:r w:rsidR="0069507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Zr</w:t>
      </w:r>
      <w:r w:rsidRPr="00695071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val="en-US"/>
        </w:rPr>
        <w:t>0.5</w:t>
      </w:r>
      <w:r w:rsidR="0069507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O</w:t>
      </w:r>
      <w:bookmarkStart w:id="0" w:name="_GoBack"/>
      <w:bookmarkEnd w:id="0"/>
      <w:r w:rsidRPr="00695071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val="en-US"/>
        </w:rPr>
        <w:t>2</w:t>
      </w:r>
      <w:r w:rsidRPr="006E4BC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during its lifeti</w:t>
      </w:r>
      <w:r w:rsidR="006E4BCB" w:rsidRPr="006E4BC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me //</w:t>
      </w:r>
      <w:r w:rsidR="006E4BC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6E4BCB" w:rsidRPr="006E4BC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Physical Review Applied. 2024. </w:t>
      </w:r>
      <w:r w:rsidR="006E4BC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V</w:t>
      </w:r>
      <w:r w:rsidR="006E4BCB" w:rsidRPr="006E4BC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. 22</w:t>
      </w:r>
      <w:r w:rsidR="006E4BC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(</w:t>
      </w:r>
      <w:r w:rsidR="006E4BCB" w:rsidRPr="006E4BC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6</w:t>
      </w:r>
      <w:r w:rsidR="006E4BC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)</w:t>
      </w:r>
      <w:r w:rsidR="006E4BCB" w:rsidRPr="006E4BC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. </w:t>
      </w:r>
      <w:r w:rsidR="006E4BC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P</w:t>
      </w:r>
      <w:r w:rsidRPr="006E4BC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. 064083.</w:t>
      </w:r>
    </w:p>
    <w:p w:rsidR="007525BB" w:rsidRPr="006E4BCB" w:rsidRDefault="00262358" w:rsidP="00262358">
      <w:pPr>
        <w:pStyle w:val="a9"/>
        <w:numPr>
          <w:ilvl w:val="0"/>
          <w:numId w:val="8"/>
        </w:numPr>
        <w:spacing w:before="240" w:after="20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proofErr w:type="spellStart"/>
      <w:r w:rsidRPr="006E4BC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Tagantsev</w:t>
      </w:r>
      <w:proofErr w:type="spellEnd"/>
      <w:r w:rsidRPr="006E4BC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A. K.</w:t>
      </w:r>
      <w:r w:rsidR="006E4BC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,</w:t>
      </w:r>
      <w:r w:rsidRPr="006E4BC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et al. Nature of nonlinear imprint in ferroelectric films and long-term prediction of polarization loss in ferroelectric memories //</w:t>
      </w:r>
      <w:r w:rsidR="006E4BC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6E4BC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Journa</w:t>
      </w:r>
      <w:r w:rsidR="006E4BCB" w:rsidRPr="006E4BC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l of Applied Physics. – 2004. </w:t>
      </w:r>
      <w:r w:rsidR="006E4BC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V</w:t>
      </w:r>
      <w:r w:rsidR="006E4BCB" w:rsidRPr="006E4BC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. 96</w:t>
      </w:r>
      <w:r w:rsidR="006E4BC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(</w:t>
      </w:r>
      <w:r w:rsidRPr="006E4BC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11</w:t>
      </w:r>
      <w:r w:rsidR="006E4BC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)</w:t>
      </w:r>
      <w:r w:rsidR="006E4BCB" w:rsidRPr="006E4BC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. </w:t>
      </w:r>
      <w:r w:rsidR="006E4BC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P</w:t>
      </w:r>
      <w:r w:rsidRPr="006E4BC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. 6616-6623.</w:t>
      </w:r>
    </w:p>
    <w:sectPr w:rsidR="007525BB" w:rsidRPr="006E4BCB" w:rsidSect="00262358">
      <w:pgSz w:w="11906" w:h="16838"/>
      <w:pgMar w:top="1134" w:right="1361" w:bottom="1259" w:left="136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D3B0C"/>
    <w:multiLevelType w:val="multilevel"/>
    <w:tmpl w:val="0CD23A2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1713727"/>
    <w:multiLevelType w:val="multilevel"/>
    <w:tmpl w:val="49C67ECE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283"/>
      </w:pPr>
    </w:lvl>
    <w:lvl w:ilvl="1">
      <w:start w:val="1"/>
      <w:numFmt w:val="decimal"/>
      <w:lvlText w:val="%2."/>
      <w:lvlJc w:val="left"/>
      <w:pPr>
        <w:tabs>
          <w:tab w:val="num" w:pos="1418"/>
        </w:tabs>
        <w:ind w:left="1418" w:hanging="283"/>
      </w:pPr>
    </w:lvl>
    <w:lvl w:ilvl="2">
      <w:start w:val="1"/>
      <w:numFmt w:val="decimal"/>
      <w:lvlText w:val="%3."/>
      <w:lvlJc w:val="left"/>
      <w:pPr>
        <w:tabs>
          <w:tab w:val="num" w:pos="2127"/>
        </w:tabs>
        <w:ind w:left="2127" w:hanging="283"/>
      </w:pPr>
    </w:lvl>
    <w:lvl w:ilvl="3">
      <w:start w:val="1"/>
      <w:numFmt w:val="decimal"/>
      <w:lvlText w:val="%4."/>
      <w:lvlJc w:val="left"/>
      <w:pPr>
        <w:tabs>
          <w:tab w:val="num" w:pos="2836"/>
        </w:tabs>
        <w:ind w:left="2836" w:hanging="283"/>
      </w:pPr>
    </w:lvl>
    <w:lvl w:ilvl="4">
      <w:start w:val="1"/>
      <w:numFmt w:val="decimal"/>
      <w:lvlText w:val="%5."/>
      <w:lvlJc w:val="left"/>
      <w:pPr>
        <w:tabs>
          <w:tab w:val="num" w:pos="3545"/>
        </w:tabs>
        <w:ind w:left="3545" w:hanging="283"/>
      </w:pPr>
    </w:lvl>
    <w:lvl w:ilvl="5">
      <w:start w:val="1"/>
      <w:numFmt w:val="decimal"/>
      <w:lvlText w:val="%6."/>
      <w:lvlJc w:val="left"/>
      <w:pPr>
        <w:tabs>
          <w:tab w:val="num" w:pos="4254"/>
        </w:tabs>
        <w:ind w:left="4254" w:hanging="283"/>
      </w:pPr>
    </w:lvl>
    <w:lvl w:ilvl="6">
      <w:start w:val="1"/>
      <w:numFmt w:val="decimal"/>
      <w:lvlText w:val="%7."/>
      <w:lvlJc w:val="left"/>
      <w:pPr>
        <w:tabs>
          <w:tab w:val="num" w:pos="4963"/>
        </w:tabs>
        <w:ind w:left="4963" w:hanging="283"/>
      </w:pPr>
    </w:lvl>
    <w:lvl w:ilvl="7">
      <w:start w:val="1"/>
      <w:numFmt w:val="decimal"/>
      <w:lvlText w:val="%8."/>
      <w:lvlJc w:val="left"/>
      <w:pPr>
        <w:tabs>
          <w:tab w:val="num" w:pos="5672"/>
        </w:tabs>
        <w:ind w:left="5672" w:hanging="283"/>
      </w:pPr>
    </w:lvl>
    <w:lvl w:ilvl="8">
      <w:start w:val="1"/>
      <w:numFmt w:val="decimal"/>
      <w:lvlText w:val="%9."/>
      <w:lvlJc w:val="left"/>
      <w:pPr>
        <w:tabs>
          <w:tab w:val="num" w:pos="6381"/>
        </w:tabs>
        <w:ind w:left="6381" w:hanging="283"/>
      </w:pPr>
    </w:lvl>
  </w:abstractNum>
  <w:abstractNum w:abstractNumId="2" w15:restartNumberingAfterBreak="0">
    <w:nsid w:val="26F127C1"/>
    <w:multiLevelType w:val="hybridMultilevel"/>
    <w:tmpl w:val="991A25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A921CD"/>
    <w:multiLevelType w:val="hybridMultilevel"/>
    <w:tmpl w:val="E104F6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A60C2C"/>
    <w:multiLevelType w:val="hybridMultilevel"/>
    <w:tmpl w:val="CA3AA1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AB1A90"/>
    <w:multiLevelType w:val="hybridMultilevel"/>
    <w:tmpl w:val="789A39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314A8E"/>
    <w:multiLevelType w:val="hybridMultilevel"/>
    <w:tmpl w:val="C9B0F7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3B95D0D"/>
    <w:multiLevelType w:val="hybridMultilevel"/>
    <w:tmpl w:val="259E9F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7"/>
  </w:num>
  <w:num w:numId="4">
    <w:abstractNumId w:val="5"/>
  </w:num>
  <w:num w:numId="5">
    <w:abstractNumId w:val="3"/>
  </w:num>
  <w:num w:numId="6">
    <w:abstractNumId w:val="6"/>
  </w:num>
  <w:num w:numId="7">
    <w:abstractNumId w:val="2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25BB"/>
    <w:rsid w:val="00041D99"/>
    <w:rsid w:val="000F6F69"/>
    <w:rsid w:val="00262358"/>
    <w:rsid w:val="00650CD4"/>
    <w:rsid w:val="00695071"/>
    <w:rsid w:val="006E4BCB"/>
    <w:rsid w:val="007525BB"/>
    <w:rsid w:val="00770B07"/>
    <w:rsid w:val="00B27930"/>
    <w:rsid w:val="00B67657"/>
    <w:rsid w:val="00DF60B3"/>
    <w:rsid w:val="00E36E96"/>
    <w:rsid w:val="00FE6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E55CA8"/>
  <w15:docId w15:val="{8E1CCEFC-9909-47DD-A071-A8ABAABA67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semiHidden/>
    <w:qFormat/>
    <w:rsid w:val="00B02F7D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B02F7D"/>
    <w:rPr>
      <w:color w:val="0000FF" w:themeColor="hyperlink"/>
      <w:u w:val="single"/>
    </w:rPr>
  </w:style>
  <w:style w:type="character" w:styleId="a6">
    <w:name w:val="line number"/>
  </w:style>
  <w:style w:type="character" w:customStyle="1" w:styleId="a7">
    <w:name w:val="Символ нумерации"/>
    <w:qFormat/>
  </w:style>
  <w:style w:type="paragraph" w:styleId="a8">
    <w:name w:val="Title"/>
    <w:basedOn w:val="a"/>
    <w:next w:val="a9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9">
    <w:name w:val="Body Text"/>
    <w:basedOn w:val="a"/>
    <w:pPr>
      <w:spacing w:after="140"/>
    </w:pPr>
  </w:style>
  <w:style w:type="paragraph" w:styleId="aa">
    <w:name w:val="List"/>
    <w:basedOn w:val="a9"/>
    <w:rPr>
      <w:rFonts w:cs="Lucida Sans"/>
    </w:rPr>
  </w:style>
  <w:style w:type="paragraph" w:styleId="ab">
    <w:name w:val="caption"/>
    <w:basedOn w:val="a"/>
    <w:next w:val="a"/>
    <w:uiPriority w:val="35"/>
    <w:unhideWhenUsed/>
    <w:qFormat/>
    <w:rsid w:val="00B02F7D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c">
    <w:name w:val="index heading"/>
    <w:basedOn w:val="a"/>
    <w:qFormat/>
    <w:pPr>
      <w:suppressLineNumbers/>
    </w:pPr>
    <w:rPr>
      <w:rFonts w:cs="Lucida Sans"/>
    </w:rPr>
  </w:style>
  <w:style w:type="paragraph" w:customStyle="1" w:styleId="user">
    <w:name w:val="Заголовок (user)"/>
    <w:basedOn w:val="a"/>
    <w:next w:val="a9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user0">
    <w:name w:val="Указатель (user)"/>
    <w:basedOn w:val="a"/>
    <w:qFormat/>
    <w:pPr>
      <w:suppressLineNumbers/>
    </w:pPr>
    <w:rPr>
      <w:rFonts w:cs="Lucida Sans"/>
    </w:rPr>
  </w:style>
  <w:style w:type="paragraph" w:styleId="a4">
    <w:name w:val="Balloon Text"/>
    <w:basedOn w:val="a"/>
    <w:link w:val="a3"/>
    <w:uiPriority w:val="99"/>
    <w:semiHidden/>
    <w:unhideWhenUsed/>
    <w:qFormat/>
    <w:rsid w:val="00B02F7D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d">
    <w:name w:val="List Paragraph"/>
    <w:basedOn w:val="a"/>
    <w:uiPriority w:val="34"/>
    <w:qFormat/>
    <w:rsid w:val="00B02F7D"/>
    <w:pPr>
      <w:ind w:left="720"/>
      <w:contextualSpacing/>
    </w:pPr>
  </w:style>
  <w:style w:type="paragraph" w:customStyle="1" w:styleId="ae">
    <w:name w:val="Колонтитулы"/>
    <w:basedOn w:val="a"/>
    <w:qFormat/>
    <w:pPr>
      <w:suppressLineNumbers/>
      <w:tabs>
        <w:tab w:val="center" w:pos="4590"/>
        <w:tab w:val="right" w:pos="9180"/>
      </w:tabs>
    </w:pPr>
  </w:style>
  <w:style w:type="paragraph" w:styleId="af">
    <w:name w:val="header"/>
    <w:basedOn w:val="ae"/>
  </w:style>
  <w:style w:type="numbering" w:customStyle="1" w:styleId="user1">
    <w:name w:val="Без списка (user)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593</Words>
  <Characters>3381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Артем</dc:creator>
  <dc:description/>
  <cp:lastModifiedBy>User</cp:lastModifiedBy>
  <cp:revision>2</cp:revision>
  <dcterms:created xsi:type="dcterms:W3CDTF">2026-02-28T16:28:00Z</dcterms:created>
  <dcterms:modified xsi:type="dcterms:W3CDTF">2026-02-28T16:28:00Z</dcterms:modified>
  <dc:language>ru-RU</dc:language>
</cp:coreProperties>
</file>