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130B" w14:textId="77777777" w:rsidR="00AE511D" w:rsidRPr="00AB239B" w:rsidRDefault="00AE511D" w:rsidP="00AE511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Особенности ф</w:t>
      </w:r>
      <w:r w:rsidRPr="00681F30">
        <w:rPr>
          <w:rFonts w:ascii="Times New Roman" w:hAnsi="Times New Roman" w:cs="Times New Roman"/>
          <w:b/>
          <w:iCs/>
          <w:sz w:val="24"/>
          <w:szCs w:val="24"/>
        </w:rPr>
        <w:t>отолюминесценция квантовых точек CdSe:Cu в фотонных кристаллах</w:t>
      </w:r>
    </w:p>
    <w:p w14:paraId="6944E9B2" w14:textId="77777777" w:rsidR="009C77D2" w:rsidRPr="00AB239B" w:rsidRDefault="009C77D2" w:rsidP="009C77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c"/>
          <w:rFonts w:ascii="Times New Roman" w:hAnsi="Times New Roman" w:cs="Times New Roman"/>
          <w:b/>
          <w:bCs/>
          <w:iCs w:val="0"/>
          <w:color w:val="000000"/>
          <w:sz w:val="24"/>
          <w:szCs w:val="24"/>
          <w:shd w:val="clear" w:color="auto" w:fill="FFFFFF"/>
        </w:rPr>
        <w:t>Гварамия А.Г.</w:t>
      </w:r>
    </w:p>
    <w:p w14:paraId="13C6468E" w14:textId="77777777" w:rsidR="009C77D2" w:rsidRDefault="009C77D2" w:rsidP="009C77D2">
      <w:pPr>
        <w:spacing w:after="0" w:line="240" w:lineRule="auto"/>
        <w:ind w:firstLine="426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аспирант</w:t>
      </w:r>
    </w:p>
    <w:p w14:paraId="388D76D9" w14:textId="1FE628E6" w:rsidR="009C77D2" w:rsidRPr="00AB239B" w:rsidRDefault="009C77D2" w:rsidP="009C77D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3F1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Горкин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503F1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Д.Н.</w:t>
      </w:r>
    </w:p>
    <w:p w14:paraId="261544B1" w14:textId="77777777" w:rsidR="009C77D2" w:rsidRPr="00AB239B" w:rsidRDefault="009C77D2" w:rsidP="009C77D2">
      <w:pPr>
        <w:spacing w:after="0" w:line="240" w:lineRule="auto"/>
        <w:ind w:firstLine="426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</w:t>
      </w:r>
    </w:p>
    <w:p w14:paraId="18F8F652" w14:textId="77777777" w:rsidR="009C77D2" w:rsidRDefault="009C77D2" w:rsidP="009C77D2">
      <w:pPr>
        <w:spacing w:after="200" w:line="240" w:lineRule="auto"/>
        <w:ind w:firstLine="425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39B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М.В.Ломоносова,</w:t>
      </w:r>
      <w:r w:rsidRPr="00AB239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AB239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B239B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AB239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AB239B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E–mail</w:t>
      </w:r>
      <w:r w:rsidRPr="00AB239B">
        <w:rPr>
          <w:rStyle w:val="ac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hyperlink r:id="rId4" w:history="1"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arsen</w:t>
        </w:r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gvaramia</w:t>
        </w:r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9F1AB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220E6E39" w14:textId="77777777" w:rsidR="009C77D2" w:rsidRPr="002954B8" w:rsidRDefault="009C77D2" w:rsidP="009C77D2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5B1B33" w14:textId="77777777" w:rsidR="00C90A7D" w:rsidRPr="00C90A7D" w:rsidRDefault="00C90A7D" w:rsidP="00C90A7D">
      <w:pPr>
        <w:spacing w:after="20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Наноструктуры привлекают внимание благодаря уникальным оптическим и электронным свойствам, отличным от объемных материалов. Квантовые точки (КТ) — полупроводниковые нанокристаллы с размерами, сопоставимыми с длиной волны носителя заряда, где проявляется квантово-размерный эффект, позволяющий настраивать спектральные характеристики изменением размера частиц. Наиболее изучены КТ на основе селенида кадмия (CdSe) благодаря высокой квантовой эффективности, стабильности и широкой спектральной настройке [1].</w:t>
      </w:r>
    </w:p>
    <w:p w14:paraId="368FA2A2" w14:textId="4C77297F" w:rsidR="00C90A7D" w:rsidRPr="00C90A7D" w:rsidRDefault="00C90A7D" w:rsidP="00C90A7D">
      <w:pPr>
        <w:spacing w:after="20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Перспективно легирование КТ примесными ионами, например медью, создающими дополнительные уровни в запрещенной зоне. Это влияет на генерацию и релаксацию носителей заряда, а также на параметры фотолюминесценции, включая изменение длины волны и длительности сигнала [2], что важно как для фундаментальной науки, так и для приложений.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Исследование фотолюминесцентных свойств CdSe:Cu актуально благодаря востребованности в современных технологиях. КТ применяются в фотовольтаике для эффективного поглощения и преобразования солнечного света. Квантово-размерный эффект позволяет оптимизировать диапазон поглощения, а легирование улучшает перенос заряда и расширяет спектр поглощения, повышая эффективность фотоэлементов [3].</w:t>
      </w:r>
    </w:p>
    <w:p w14:paraId="673718F6" w14:textId="492F8B71" w:rsidR="009C77D2" w:rsidRDefault="009C77D2" w:rsidP="00AE511D">
      <w:pPr>
        <w:spacing w:after="20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</w:t>
      </w:r>
      <w:r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 направлена на экспериментальное исследование особенностей спектров фотолюминесценции и спектров возбуждения фотолюминесценции легированных и нелегированных квантовых точек CdSe, а также на изучение влияния фотонно-кристаллической структуры на спектры фотолюминесценции квантовых точек.</w:t>
      </w:r>
      <w:r w:rsidR="00AE511D" w:rsidRPr="00AE51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выполнения работы были охарактеризованы квантовые точки CdSe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легированные медью</w:t>
      </w:r>
      <w:r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Проведены измерения спектров возбуждения фотолюминесценции. Установлено распределение квантовых точек по размерам для каждого образца.</w:t>
      </w:r>
      <w:r w:rsidR="00DE7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Выполнены измерения спектров возбуждения фотолюминесценции квантовых точек, легированных медью, при различных концентрациях введенной примеси. </w:t>
      </w:r>
    </w:p>
    <w:p w14:paraId="46201FE9" w14:textId="48BC37BC" w:rsidR="00870C4F" w:rsidRPr="00870C4F" w:rsidRDefault="00870C4F" w:rsidP="002F25C6">
      <w:pPr>
        <w:spacing w:after="200" w:line="240" w:lineRule="auto"/>
        <w:ind w:firstLine="426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870C4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164E6EF9" wp14:editId="04E0BE1E">
            <wp:extent cx="1260261" cy="19721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45" cy="200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9E866" w14:textId="77777777" w:rsidR="005213EE" w:rsidRDefault="0056417F" w:rsidP="005213EE">
      <w:pPr>
        <w:spacing w:after="2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13EE" w:rsidRPr="00521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Схематическое изображение оптических переходов, участвующих в процессах поглощения</w:t>
      </w:r>
    </w:p>
    <w:p w14:paraId="1B85C4E0" w14:textId="77777777" w:rsidR="00870C4F" w:rsidRDefault="00C90A7D" w:rsidP="00870C4F">
      <w:pPr>
        <w:spacing w:after="20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спектрах фотолюминесценции зарегистрирован пик в области 700–900 нм, обусловленный захватом носителей на уровни, создаваемые медью. Для образца CdSe:Cu-50 определены энергетические уровни примесей меди (уровень t с энергией 1,98 эВ и уровень e с энергией 2,09 эВ относительно потолка зоны проводимости), на основе которых построена энергетическая схема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(рис.1)</w:t>
      </w:r>
      <w:r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Выявлено, что увеличение концентрации меди подавляет экситонную люминесценцию в области 570 нм.</w:t>
      </w:r>
    </w:p>
    <w:p w14:paraId="47C58B87" w14:textId="3CC2E2DB" w:rsidR="009C77D2" w:rsidRPr="00F35E9D" w:rsidRDefault="004D547D" w:rsidP="00870C4F">
      <w:pPr>
        <w:spacing w:after="20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5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исследования установлено, что одномерные фотонные кристаллы на основе пористого кремния (ФКП) существенно модифицируют излучательные характеристики квантовых точек CdSe:Cu-50. При нанесении КТ на поверхность ФКП наблюдается перераспределение интенсивности их фотолюминесценции в соответствии с фотонной зонной структурой подложки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</w:t>
      </w:r>
      <w:r w:rsidR="00B740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а)</w:t>
      </w:r>
      <w:r w:rsidRPr="004D5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Эффект проявляется в селективном усилении спонтанного излучения на краю фотонной запрещенной зоны (вблизи 776 нм)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(рис. 2 б)</w:t>
      </w:r>
      <w:r w:rsidRPr="004D5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обусловлено резким возрастанием локальной плотности фотонных состояний. Одновременно в спектрах возбуждения фотолюминесценции зафиксировано подавление сигнала в области коротких длин волн, связанное с запрещенной зоной ФКП.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77D2" w:rsidRPr="00F3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Экспериментальные результаты подтверждены численными расчетами, что свидетельствует о достоверности полученных данных.</w:t>
      </w:r>
    </w:p>
    <w:p w14:paraId="0086A50B" w14:textId="77777777" w:rsidR="009C77D2" w:rsidRDefault="009C77D2" w:rsidP="009C77D2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765928" w14:textId="4AC40650" w:rsidR="009C77D2" w:rsidRPr="00870C4F" w:rsidRDefault="00AE27DD" w:rsidP="009C77D2">
      <w:pPr>
        <w:spacing w:after="200" w:line="240" w:lineRule="auto"/>
        <w:jc w:val="both"/>
        <w:rPr>
          <w:noProof/>
          <w14:ligatures w14:val="standardContextual"/>
        </w:rPr>
      </w:pPr>
      <w:r w:rsidRPr="00AE27DD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t xml:space="preserve">  </w:t>
      </w:r>
      <w:r w:rsidR="00870C4F" w:rsidRPr="00870C4F">
        <w:rPr>
          <w:noProof/>
          <w14:ligatures w14:val="standardContextual"/>
        </w:rPr>
        <w:drawing>
          <wp:inline distT="0" distB="0" distL="0" distR="0" wp14:anchorId="5D331A68" wp14:editId="5BBBD499">
            <wp:extent cx="5725236" cy="2344562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233" cy="234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3C47" w14:textId="30F67A7C" w:rsidR="009C77D2" w:rsidRPr="007D35E5" w:rsidRDefault="009C77D2" w:rsidP="009C77D2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D3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</w:t>
      </w:r>
      <w:r w:rsidR="004A3E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</w:t>
      </w:r>
      <w:r w:rsidRPr="007D3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а)     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</w:t>
      </w:r>
      <w:r w:rsidRPr="007D3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</w:t>
      </w:r>
      <w:r w:rsidR="004A3E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</w:t>
      </w:r>
      <w:r w:rsidRPr="007D3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б)                      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</w:t>
      </w:r>
      <w:r w:rsidRPr="007D3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408B6C12" w14:textId="3B03D5E5" w:rsidR="009C77D2" w:rsidRDefault="009C77D2" w:rsidP="009C77D2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спектры ФЛ КТ </w:t>
      </w:r>
      <w:r w:rsidR="004A3EC8" w:rsidRP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фотонокристаллической структуре</w:t>
      </w:r>
      <w:r w:rsidRPr="00FA0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</w:t>
      </w:r>
      <w:r w:rsidR="004A3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AE27DD" w:rsidRPr="00AE2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спектры ВФЛ КТ нанесёных на ФКС</w:t>
      </w:r>
      <w:r w:rsidR="00AE27DD" w:rsidRPr="00AE27DD">
        <w:rPr>
          <w:noProof/>
          <w14:ligatures w14:val="standardContextual"/>
        </w:rPr>
        <w:t xml:space="preserve"> </w:t>
      </w:r>
    </w:p>
    <w:p w14:paraId="3FBDB7E5" w14:textId="4940E0E6" w:rsidR="009C77D2" w:rsidRPr="00F35E9D" w:rsidRDefault="009C77D2" w:rsidP="009C77D2">
      <w:pPr>
        <w:spacing w:after="200" w:line="240" w:lineRule="auto"/>
        <w:jc w:val="both"/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</w:pPr>
      <w:r w:rsidRPr="00BE6796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Литература</w:t>
      </w:r>
      <w:r w:rsidRPr="00F35E9D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:</w:t>
      </w:r>
      <w:r w:rsidR="00870C4F" w:rsidRPr="00E31B0A">
        <w:rPr>
          <w:noProof/>
          <w:lang w:val="en-US"/>
          <w14:ligatures w14:val="standardContextual"/>
        </w:rPr>
        <w:t xml:space="preserve"> </w:t>
      </w:r>
    </w:p>
    <w:p w14:paraId="6C449F5C" w14:textId="77777777" w:rsidR="009C77D2" w:rsidRPr="00F35E9D" w:rsidRDefault="009C77D2" w:rsidP="009C77D2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E6796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1)</w:t>
      </w:r>
      <w:r w:rsidRPr="00040AB9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Efros A. L., Brus L. E. Nanocrystal quantum dots: from discovery to modern development.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15. — ACS Publications, 2021. —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6192—6210.</w:t>
      </w:r>
    </w:p>
    <w:p w14:paraId="1FA27E17" w14:textId="77777777" w:rsidR="009C77D2" w:rsidRPr="00040AB9" w:rsidRDefault="009C77D2" w:rsidP="009C77D2">
      <w:pPr>
        <w:spacing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40AB9">
        <w:rPr>
          <w:rStyle w:val="ac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How surface proximity to copper dopants affects photoluminescence of CdSe colloidal quantum dots.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125 / O. Volnianska [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.]. — ACS Publications, 2021. — 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16827—16836.</w:t>
      </w:r>
    </w:p>
    <w:p w14:paraId="3ED1340B" w14:textId="63C1ECA8" w:rsidR="00BE6796" w:rsidRPr="00040AB9" w:rsidRDefault="009C77D2" w:rsidP="00BE6796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A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r w:rsidRPr="00040AB9">
        <w:rPr>
          <w:rFonts w:ascii="Times New Roman" w:hAnsi="Times New Roman" w:cs="Times New Roman"/>
          <w:sz w:val="24"/>
          <w:szCs w:val="24"/>
          <w:lang w:val="en-US"/>
        </w:rPr>
        <w:t xml:space="preserve">Effect of Cu2+ ions doped on the photovoltaic features of CdSe quantum dot sensitized solar cells. </w:t>
      </w:r>
      <w:r w:rsidRPr="00040AB9">
        <w:rPr>
          <w:rFonts w:ascii="Times New Roman" w:hAnsi="Times New Roman" w:cs="Times New Roman"/>
          <w:sz w:val="24"/>
          <w:szCs w:val="24"/>
        </w:rPr>
        <w:t>Т</w:t>
      </w:r>
      <w:r w:rsidRPr="00040AB9">
        <w:rPr>
          <w:rFonts w:ascii="Times New Roman" w:hAnsi="Times New Roman" w:cs="Times New Roman"/>
          <w:sz w:val="24"/>
          <w:szCs w:val="24"/>
          <w:lang w:val="en-US"/>
        </w:rPr>
        <w:t>. 282 / T. P. Nguyen [</w:t>
      </w:r>
      <w:r w:rsidRPr="00040AB9">
        <w:rPr>
          <w:rFonts w:ascii="Times New Roman" w:hAnsi="Times New Roman" w:cs="Times New Roman"/>
          <w:sz w:val="24"/>
          <w:szCs w:val="24"/>
        </w:rPr>
        <w:t>и</w:t>
      </w:r>
      <w:r w:rsidRPr="00040A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AB9">
        <w:rPr>
          <w:rFonts w:ascii="Times New Roman" w:hAnsi="Times New Roman" w:cs="Times New Roman"/>
          <w:sz w:val="24"/>
          <w:szCs w:val="24"/>
        </w:rPr>
        <w:t>др</w:t>
      </w:r>
      <w:r w:rsidRPr="00040AB9">
        <w:rPr>
          <w:rFonts w:ascii="Times New Roman" w:hAnsi="Times New Roman" w:cs="Times New Roman"/>
          <w:sz w:val="24"/>
          <w:szCs w:val="24"/>
          <w:lang w:val="en-US"/>
        </w:rPr>
        <w:t xml:space="preserve">.]. — Elsevier, 2018. — </w:t>
      </w:r>
      <w:r w:rsidRPr="00040AB9">
        <w:rPr>
          <w:rFonts w:ascii="Times New Roman" w:hAnsi="Times New Roman" w:cs="Times New Roman"/>
          <w:sz w:val="24"/>
          <w:szCs w:val="24"/>
        </w:rPr>
        <w:t>С</w:t>
      </w:r>
      <w:r w:rsidRPr="00040AB9">
        <w:rPr>
          <w:rFonts w:ascii="Times New Roman" w:hAnsi="Times New Roman" w:cs="Times New Roman"/>
          <w:sz w:val="24"/>
          <w:szCs w:val="24"/>
          <w:lang w:val="en-US"/>
        </w:rPr>
        <w:t>. 16—23.</w:t>
      </w:r>
    </w:p>
    <w:sectPr w:rsidR="00BE6796" w:rsidRPr="00040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96"/>
    <w:rsid w:val="00040AB9"/>
    <w:rsid w:val="00063D1F"/>
    <w:rsid w:val="000904B6"/>
    <w:rsid w:val="002954B8"/>
    <w:rsid w:val="002F25C6"/>
    <w:rsid w:val="0032366C"/>
    <w:rsid w:val="00335DA4"/>
    <w:rsid w:val="00341314"/>
    <w:rsid w:val="003A2890"/>
    <w:rsid w:val="003B45BE"/>
    <w:rsid w:val="00434F9B"/>
    <w:rsid w:val="004737BC"/>
    <w:rsid w:val="004A3EC8"/>
    <w:rsid w:val="004D49A4"/>
    <w:rsid w:val="004D547D"/>
    <w:rsid w:val="00503F11"/>
    <w:rsid w:val="005213EE"/>
    <w:rsid w:val="00547DEE"/>
    <w:rsid w:val="0056417F"/>
    <w:rsid w:val="005B5A45"/>
    <w:rsid w:val="00607DFE"/>
    <w:rsid w:val="006A6B71"/>
    <w:rsid w:val="006A6CA4"/>
    <w:rsid w:val="006C7E8D"/>
    <w:rsid w:val="007D35E5"/>
    <w:rsid w:val="00870C4F"/>
    <w:rsid w:val="009C77D2"/>
    <w:rsid w:val="00A04EA6"/>
    <w:rsid w:val="00A15868"/>
    <w:rsid w:val="00A67DBE"/>
    <w:rsid w:val="00AD490D"/>
    <w:rsid w:val="00AE27DD"/>
    <w:rsid w:val="00AE511D"/>
    <w:rsid w:val="00B04E24"/>
    <w:rsid w:val="00B60D9A"/>
    <w:rsid w:val="00B74025"/>
    <w:rsid w:val="00BE6796"/>
    <w:rsid w:val="00C90A7D"/>
    <w:rsid w:val="00D45796"/>
    <w:rsid w:val="00DE728F"/>
    <w:rsid w:val="00E31B0A"/>
    <w:rsid w:val="00E523EA"/>
    <w:rsid w:val="00E75FC3"/>
    <w:rsid w:val="00EA449F"/>
    <w:rsid w:val="00F038F7"/>
    <w:rsid w:val="00F316BE"/>
    <w:rsid w:val="00F35E9D"/>
    <w:rsid w:val="00F56B6E"/>
    <w:rsid w:val="00FA0923"/>
    <w:rsid w:val="00F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8819"/>
  <w15:chartTrackingRefBased/>
  <w15:docId w15:val="{8D38913E-23D2-47AE-9A2D-9422DBBB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C2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7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7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4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4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79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45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79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457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457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796"/>
    <w:rPr>
      <w:b/>
      <w:bCs/>
      <w:smallCaps/>
      <w:color w:val="0F4761" w:themeColor="accent1" w:themeShade="BF"/>
      <w:spacing w:val="5"/>
    </w:rPr>
  </w:style>
  <w:style w:type="character" w:styleId="ac">
    <w:name w:val="Emphasis"/>
    <w:qFormat/>
    <w:rsid w:val="00FA5C23"/>
    <w:rPr>
      <w:i/>
      <w:iCs/>
    </w:rPr>
  </w:style>
  <w:style w:type="character" w:customStyle="1" w:styleId="apple-converted-space">
    <w:name w:val="apple-converted-space"/>
    <w:basedOn w:val="a0"/>
    <w:rsid w:val="00FA5C23"/>
  </w:style>
  <w:style w:type="character" w:styleId="ad">
    <w:name w:val="Hyperlink"/>
    <w:basedOn w:val="a0"/>
    <w:uiPriority w:val="99"/>
    <w:unhideWhenUsed/>
    <w:rsid w:val="0032366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366C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9C77D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C77D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C77D2"/>
    <w:rPr>
      <w:kern w:val="0"/>
      <w:sz w:val="20"/>
      <w:szCs w:val="20"/>
      <w14:ligatures w14:val="none"/>
    </w:rPr>
  </w:style>
  <w:style w:type="paragraph" w:styleId="af2">
    <w:name w:val="Normal (Web)"/>
    <w:basedOn w:val="a"/>
    <w:uiPriority w:val="99"/>
    <w:semiHidden/>
    <w:unhideWhenUsed/>
    <w:rsid w:val="00870C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rsen.gvaram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Arseniy Gvaramia</dc:creator>
  <cp:keywords/>
  <dc:description/>
  <cp:lastModifiedBy>Arseniy Gvaramia</cp:lastModifiedBy>
  <cp:revision>13</cp:revision>
  <dcterms:created xsi:type="dcterms:W3CDTF">2026-03-02T22:59:00Z</dcterms:created>
  <dcterms:modified xsi:type="dcterms:W3CDTF">2026-03-03T20:04:00Z</dcterms:modified>
</cp:coreProperties>
</file>