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B3FA1" w14:textId="77777777" w:rsidR="00B5362A" w:rsidRDefault="00D100B3">
      <w:pPr>
        <w:tabs>
          <w:tab w:val="left" w:pos="364"/>
        </w:tabs>
        <w:jc w:val="center"/>
        <w:rPr>
          <w:b/>
          <w:bCs/>
          <w:color w:val="000000"/>
          <w:shd w:val="clear" w:color="auto" w:fill="FFFFFF"/>
        </w:rPr>
      </w:pPr>
      <w:r>
        <w:rPr>
          <w:b/>
          <w:color w:val="000000"/>
          <w:shd w:val="clear" w:color="auto" w:fill="FFFFFF"/>
        </w:rPr>
        <w:t>Термоэлек</w:t>
      </w:r>
      <w:r w:rsidR="00AC153C">
        <w:rPr>
          <w:b/>
          <w:color w:val="000000"/>
          <w:shd w:val="clear" w:color="auto" w:fill="FFFFFF"/>
        </w:rPr>
        <w:t>т</w:t>
      </w:r>
      <w:r>
        <w:rPr>
          <w:b/>
          <w:color w:val="000000"/>
          <w:shd w:val="clear" w:color="auto" w:fill="FFFFFF"/>
        </w:rPr>
        <w:t>рические свойства композитов ZnO/ZnTe</w:t>
      </w:r>
    </w:p>
    <w:p w14:paraId="09C4E1D4" w14:textId="77777777" w:rsidR="00B5362A" w:rsidRDefault="00D100B3">
      <w:pPr>
        <w:ind w:firstLine="426"/>
        <w:jc w:val="center"/>
        <w:rPr>
          <w:b/>
          <w:i/>
        </w:rPr>
      </w:pPr>
      <w:r>
        <w:rPr>
          <w:b/>
          <w:i/>
        </w:rPr>
        <w:t>Русанова У.А..</w:t>
      </w:r>
      <w:r>
        <w:rPr>
          <w:rStyle w:val="a3"/>
          <w:b/>
          <w:bCs/>
          <w:i w:val="0"/>
          <w:color w:val="000000"/>
          <w:shd w:val="clear" w:color="auto" w:fill="FFFFFF"/>
          <w:vertAlign w:val="superscript"/>
        </w:rPr>
        <w:t xml:space="preserve"> 1</w:t>
      </w:r>
    </w:p>
    <w:p w14:paraId="6118296D" w14:textId="77777777" w:rsidR="00B5362A" w:rsidRDefault="00D100B3">
      <w:pPr>
        <w:ind w:firstLine="426"/>
        <w:jc w:val="center"/>
        <w:rPr>
          <w:rStyle w:val="a3"/>
          <w:color w:val="000000"/>
          <w:shd w:val="clear" w:color="auto" w:fill="FFFFFF"/>
        </w:rPr>
      </w:pPr>
      <w:r>
        <w:rPr>
          <w:rStyle w:val="a3"/>
          <w:bCs/>
          <w:i w:val="0"/>
          <w:color w:val="000000"/>
          <w:shd w:val="clear" w:color="auto" w:fill="FFFFFF"/>
          <w:vertAlign w:val="superscript"/>
        </w:rPr>
        <w:t>1</w:t>
      </w:r>
      <w:r>
        <w:rPr>
          <w:rStyle w:val="a3"/>
          <w:color w:val="000000"/>
          <w:shd w:val="clear" w:color="auto" w:fill="FFFFFF"/>
        </w:rPr>
        <w:t>студент</w:t>
      </w:r>
    </w:p>
    <w:p w14:paraId="76FA2944" w14:textId="77777777" w:rsidR="00B5362A" w:rsidRDefault="00D100B3">
      <w:pPr>
        <w:spacing w:after="200"/>
        <w:ind w:firstLine="426"/>
        <w:jc w:val="center"/>
        <w:rPr>
          <w:rStyle w:val="a3"/>
          <w:color w:val="000000"/>
          <w:shd w:val="clear" w:color="auto" w:fill="FFFFFF"/>
        </w:rPr>
      </w:pPr>
      <w:r>
        <w:rPr>
          <w:rStyle w:val="a3"/>
          <w:color w:val="000000"/>
          <w:shd w:val="clear" w:color="auto" w:fill="FFFFFF"/>
        </w:rPr>
        <w:t>Московский государственный университет имени М.В.Ломоносова,</w:t>
      </w:r>
      <w:r>
        <w:rPr>
          <w:rStyle w:val="apple-converted-space"/>
          <w:i/>
          <w:iCs/>
          <w:color w:val="000000"/>
          <w:shd w:val="clear" w:color="auto" w:fill="FFFFFF"/>
        </w:rPr>
        <w:t> </w:t>
      </w:r>
      <w:r>
        <w:rPr>
          <w:i/>
          <w:iCs/>
          <w:color w:val="000000"/>
          <w:shd w:val="clear" w:color="auto" w:fill="FFFFFF"/>
        </w:rPr>
        <w:br/>
      </w:r>
      <w:r>
        <w:rPr>
          <w:rStyle w:val="a3"/>
          <w:color w:val="000000"/>
          <w:shd w:val="clear" w:color="auto" w:fill="FFFFFF"/>
        </w:rPr>
        <w:t>физический факультет, Москва, Россия</w:t>
      </w:r>
      <w:r>
        <w:rPr>
          <w:i/>
          <w:iCs/>
          <w:color w:val="000000"/>
          <w:shd w:val="clear" w:color="auto" w:fill="FFFFFF"/>
        </w:rPr>
        <w:br/>
      </w:r>
      <w:r>
        <w:rPr>
          <w:rStyle w:val="a3"/>
          <w:color w:val="000000"/>
          <w:shd w:val="clear" w:color="auto" w:fill="FFFFFF"/>
        </w:rPr>
        <w:t>E–mail</w:t>
      </w:r>
      <w:r>
        <w:rPr>
          <w:rStyle w:val="a3"/>
          <w:i w:val="0"/>
          <w:color w:val="000000"/>
          <w:shd w:val="clear" w:color="auto" w:fill="FFFFFF"/>
        </w:rPr>
        <w:t xml:space="preserve">: </w:t>
      </w:r>
      <w:r>
        <w:rPr>
          <w:rStyle w:val="a3"/>
          <w:color w:val="000000"/>
          <w:shd w:val="clear" w:color="auto" w:fill="FFFFFF"/>
          <w:lang w:val="en-US"/>
        </w:rPr>
        <w:t>wise</w:t>
      </w:r>
      <w:r>
        <w:rPr>
          <w:rStyle w:val="a3"/>
          <w:color w:val="000000"/>
          <w:shd w:val="clear" w:color="auto" w:fill="FFFFFF"/>
        </w:rPr>
        <w:t>.</w:t>
      </w:r>
      <w:r>
        <w:rPr>
          <w:rStyle w:val="a3"/>
          <w:color w:val="000000"/>
          <w:shd w:val="clear" w:color="auto" w:fill="FFFFFF"/>
          <w:lang w:val="en-US"/>
        </w:rPr>
        <w:t>ursa</w:t>
      </w:r>
      <w:r>
        <w:rPr>
          <w:rStyle w:val="a3"/>
          <w:color w:val="000000"/>
          <w:shd w:val="clear" w:color="auto" w:fill="FFFFFF"/>
        </w:rPr>
        <w:t>@</w:t>
      </w:r>
      <w:r>
        <w:rPr>
          <w:rStyle w:val="a3"/>
          <w:color w:val="000000"/>
          <w:shd w:val="clear" w:color="auto" w:fill="FFFFFF"/>
          <w:lang w:val="en-US"/>
        </w:rPr>
        <w:t>yandex</w:t>
      </w:r>
      <w:r>
        <w:rPr>
          <w:rStyle w:val="a3"/>
          <w:color w:val="000000"/>
          <w:shd w:val="clear" w:color="auto" w:fill="FFFFFF"/>
        </w:rPr>
        <w:t>.</w:t>
      </w:r>
      <w:r>
        <w:rPr>
          <w:rStyle w:val="a3"/>
          <w:color w:val="000000"/>
          <w:shd w:val="clear" w:color="auto" w:fill="FFFFFF"/>
          <w:lang w:val="en-US"/>
        </w:rPr>
        <w:t>ru</w:t>
      </w:r>
    </w:p>
    <w:p w14:paraId="760DFA67" w14:textId="6E88A409" w:rsidR="00B5362A" w:rsidRPr="00AC153C" w:rsidRDefault="00D100B3">
      <w:pPr>
        <w:ind w:firstLine="397"/>
        <w:jc w:val="both"/>
      </w:pPr>
      <w:r>
        <w:t>При</w:t>
      </w:r>
      <w:r w:rsidR="004815A0">
        <w:t xml:space="preserve"> </w:t>
      </w:r>
      <w:r>
        <w:t>разработке полупроводниковых материалов важно контролировать тип проводимости и концентрацию носителей заряда. Как правило, это достигается за счёт легирования полупроводников донорной или акцепторной примесью, растворимость которой ограничена. В композитных материалах, состоящих из разных полупроводников, легирование может осуществляться за счёт диффузии элементов через границы кристаллитов. Кроме этого, на границах кристаллитов могут формироваться электрически активные дефекты способные захватывать или поставлять носители заряда. Коэффициенты диффузии компонентов композитов зависят от температуры. От температуры и других условий синтеза также зависит образование электрически активных дефектов на границах кристаллитов. Это открывает возможность управлять типом проводимости, концентрацией носителей заряда и другими электронными свойствами материала, изменяя условия синтеза</w:t>
      </w:r>
      <w:r>
        <w:rPr>
          <w:iCs/>
        </w:rPr>
        <w:t xml:space="preserve">. Оксид и теллурид цинка являются широкозонными полупроводниками, прозрачными для видимого света, что делает их перспективной основой для создания материалов для оптоэлектроники.  </w:t>
      </w:r>
    </w:p>
    <w:p w14:paraId="114C466B" w14:textId="77777777" w:rsidR="00B5362A" w:rsidRDefault="00D100B3">
      <w:pPr>
        <w:ind w:firstLine="397"/>
        <w:jc w:val="both"/>
      </w:pPr>
      <w:r>
        <w:rPr>
          <w:iCs/>
        </w:rPr>
        <w:t>В работе представлены результаты измерения и анализа температурных зависимостей, коэффициента Зеебека, удельного сопротивления, а также результаты измерения э.д.с. Холла от магнитного поля. Измерение температурных зависимостей коэффициента Зеебека и удельного сопротивления даёт возможность определять тип проводимости и извлекать информацию о характеристиках носителей заряда, что особенно полезно в случае, когда измерение э.д.с. Холла затруднено.</w:t>
      </w:r>
    </w:p>
    <w:p w14:paraId="36363A3C" w14:textId="77777777" w:rsidR="00B5362A" w:rsidRDefault="00D100B3">
      <w:pPr>
        <w:ind w:firstLine="397"/>
        <w:jc w:val="both"/>
      </w:pPr>
      <w:r>
        <w:t xml:space="preserve">Исследованные композиты были синтезированы выдержкой при температуре от 500 до 800 ⁰С спрессованной смеси порошков оксида цинка, цинка и теллура в вакууме в течении 6-8 часов, которой предшествовал медленный нагрев до заданной температуры в течении 48-72 часов. </w:t>
      </w:r>
    </w:p>
    <w:p w14:paraId="5964CE96" w14:textId="77777777" w:rsidR="00B5362A" w:rsidRDefault="00D100B3">
      <w:pPr>
        <w:ind w:firstLine="397"/>
        <w:jc w:val="both"/>
      </w:pPr>
      <w:r>
        <w:t xml:space="preserve">Измерения коэффициента Зеебека, удельного сопротивления и э.д.с. Холла проводились четырёхзондовым методом в диапазоне температур от 78 до 320 К. </w:t>
      </w:r>
    </w:p>
    <w:p w14:paraId="0B563294" w14:textId="5EDC2178" w:rsidR="00B5362A" w:rsidRDefault="00D100B3">
      <w:pPr>
        <w:ind w:firstLine="397"/>
        <w:jc w:val="both"/>
        <w:rPr>
          <w:color w:val="000000"/>
        </w:rPr>
      </w:pPr>
      <w:r>
        <w:rPr>
          <w:color w:val="000000"/>
        </w:rPr>
        <w:t xml:space="preserve">В магнитных полях до 0,6 Тл наблюдалась линейная зависимость э.д.с. Холла от магнитного поля. Концентрация носителей заряда, определённая из зависимости э.д.с. Холла от магнитного поля, представлена в таблице 1. </w:t>
      </w:r>
    </w:p>
    <w:p w14:paraId="04DF0254" w14:textId="77777777" w:rsidR="00B5362A" w:rsidRDefault="00B5362A">
      <w:pPr>
        <w:ind w:firstLine="397"/>
        <w:jc w:val="both"/>
        <w:rPr>
          <w:color w:val="000000"/>
        </w:rPr>
      </w:pPr>
    </w:p>
    <w:p w14:paraId="7A690A95" w14:textId="0B09EEC0" w:rsidR="00B5362A" w:rsidRDefault="00D100B3" w:rsidP="004815A0">
      <w:pPr>
        <w:ind w:firstLine="397"/>
        <w:jc w:val="center"/>
        <w:rPr>
          <w:i/>
          <w:iCs/>
          <w:color w:val="000000"/>
        </w:rPr>
      </w:pPr>
      <w:r>
        <w:rPr>
          <w:i/>
          <w:iCs/>
          <w:color w:val="000000"/>
        </w:rPr>
        <w:t>Таблица 1</w:t>
      </w:r>
      <w:r w:rsidR="004815A0">
        <w:rPr>
          <w:i/>
          <w:iCs/>
          <w:color w:val="000000"/>
        </w:rPr>
        <w:t>.</w:t>
      </w:r>
      <w:r>
        <w:rPr>
          <w:i/>
          <w:iCs/>
          <w:color w:val="000000"/>
        </w:rPr>
        <w:t xml:space="preserve"> Концентрация носителей заряда, определённая из эффекта Холла</w:t>
      </w:r>
    </w:p>
    <w:tbl>
      <w:tblPr>
        <w:tblStyle w:val="af5"/>
        <w:tblW w:w="9400" w:type="dxa"/>
        <w:tblLayout w:type="fixed"/>
        <w:tblLook w:val="04A0" w:firstRow="1" w:lastRow="0" w:firstColumn="1" w:lastColumn="0" w:noHBand="0" w:noVBand="1"/>
      </w:tblPr>
      <w:tblGrid>
        <w:gridCol w:w="1740"/>
        <w:gridCol w:w="4500"/>
        <w:gridCol w:w="3160"/>
      </w:tblGrid>
      <w:tr w:rsidR="00B5362A" w14:paraId="43429F51" w14:textId="77777777">
        <w:tc>
          <w:tcPr>
            <w:tcW w:w="1539" w:type="dxa"/>
          </w:tcPr>
          <w:p w14:paraId="2AC7ED91" w14:textId="77777777" w:rsidR="00B5362A" w:rsidRDefault="00D100B3">
            <w:pPr>
              <w:jc w:val="center"/>
            </w:pPr>
            <w:r>
              <w:t xml:space="preserve">Температура синтеза, </w:t>
            </w:r>
            <w:r>
              <w:rPr>
                <w:vertAlign w:val="superscript"/>
              </w:rPr>
              <w:t>о</w:t>
            </w:r>
            <w:r>
              <w:t>С</w:t>
            </w:r>
          </w:p>
        </w:tc>
        <w:tc>
          <w:tcPr>
            <w:tcW w:w="3981" w:type="dxa"/>
          </w:tcPr>
          <w:p w14:paraId="52F19BD5" w14:textId="77777777" w:rsidR="00B5362A" w:rsidRDefault="00D100B3">
            <w:pPr>
              <w:jc w:val="center"/>
            </w:pPr>
            <w:r>
              <w:t>Концентрация носителей заряда. 10</w:t>
            </w:r>
            <w:r>
              <w:rPr>
                <w:vertAlign w:val="superscript"/>
              </w:rPr>
              <w:t>18</w:t>
            </w:r>
            <w:r>
              <w:t xml:space="preserve"> см</w:t>
            </w:r>
            <w:r>
              <w:rPr>
                <w:vertAlign w:val="superscript"/>
              </w:rPr>
              <w:t>-3</w:t>
            </w:r>
            <w:r>
              <w:t xml:space="preserve"> при 293 К</w:t>
            </w:r>
          </w:p>
        </w:tc>
        <w:tc>
          <w:tcPr>
            <w:tcW w:w="2795" w:type="dxa"/>
          </w:tcPr>
          <w:p w14:paraId="19F41126" w14:textId="77777777" w:rsidR="00B5362A" w:rsidRDefault="00D100B3">
            <w:pPr>
              <w:jc w:val="center"/>
            </w:pPr>
            <w:r w:rsidRPr="00AC153C">
              <w:t>Концентрация носителей заряда. 10</w:t>
            </w:r>
            <w:r w:rsidRPr="00AC153C">
              <w:rPr>
                <w:vertAlign w:val="superscript"/>
              </w:rPr>
              <w:t>18</w:t>
            </w:r>
            <w:r w:rsidRPr="00AC153C">
              <w:t xml:space="preserve"> см</w:t>
            </w:r>
            <w:r w:rsidRPr="00AC153C">
              <w:rPr>
                <w:vertAlign w:val="superscript"/>
              </w:rPr>
              <w:t>-3</w:t>
            </w:r>
            <w:r w:rsidRPr="00AC153C">
              <w:t xml:space="preserve"> </w:t>
            </w:r>
            <w:r>
              <w:t>при 77 К</w:t>
            </w:r>
          </w:p>
        </w:tc>
      </w:tr>
      <w:tr w:rsidR="00B5362A" w14:paraId="00DDF58F" w14:textId="77777777">
        <w:tc>
          <w:tcPr>
            <w:tcW w:w="1539" w:type="dxa"/>
          </w:tcPr>
          <w:p w14:paraId="6DE6CF53" w14:textId="77777777" w:rsidR="00B5362A" w:rsidRDefault="00D100B3">
            <w:pPr>
              <w:jc w:val="center"/>
            </w:pPr>
            <w:r>
              <w:t>500</w:t>
            </w:r>
          </w:p>
        </w:tc>
        <w:tc>
          <w:tcPr>
            <w:tcW w:w="3981" w:type="dxa"/>
            <w:vAlign w:val="bottom"/>
          </w:tcPr>
          <w:p w14:paraId="4AAC8861" w14:textId="7D21452C" w:rsidR="00B5362A" w:rsidRPr="00E66B16" w:rsidRDefault="00296419">
            <w:pPr>
              <w:jc w:val="center"/>
              <w:rPr>
                <w:color w:val="000000"/>
              </w:rPr>
            </w:pPr>
            <w:r>
              <w:rPr>
                <w:color w:val="000000"/>
                <w:lang w:val="en-US"/>
              </w:rPr>
              <w:t>0,470</w:t>
            </w:r>
            <w:r w:rsidR="00E66B16">
              <w:rPr>
                <w:color w:val="000000"/>
              </w:rPr>
              <w:t xml:space="preserve"> (дырки)</w:t>
            </w:r>
          </w:p>
        </w:tc>
        <w:tc>
          <w:tcPr>
            <w:tcW w:w="2795" w:type="dxa"/>
            <w:vAlign w:val="bottom"/>
          </w:tcPr>
          <w:p w14:paraId="57F8DA5D" w14:textId="046572B4" w:rsidR="00B5362A" w:rsidRPr="00E66B16" w:rsidRDefault="00296419">
            <w:pPr>
              <w:jc w:val="center"/>
              <w:rPr>
                <w:color w:val="000000"/>
              </w:rPr>
            </w:pPr>
            <w:r>
              <w:rPr>
                <w:color w:val="000000"/>
              </w:rPr>
              <w:t>0</w:t>
            </w:r>
            <w:r>
              <w:rPr>
                <w:color w:val="000000"/>
                <w:lang w:val="en-US"/>
              </w:rPr>
              <w:t>,311</w:t>
            </w:r>
            <w:r w:rsidR="00E66B16">
              <w:rPr>
                <w:color w:val="000000"/>
              </w:rPr>
              <w:t xml:space="preserve"> (дырки)</w:t>
            </w:r>
          </w:p>
        </w:tc>
      </w:tr>
      <w:tr w:rsidR="00B5362A" w14:paraId="529FC3A6" w14:textId="77777777">
        <w:tc>
          <w:tcPr>
            <w:tcW w:w="1539" w:type="dxa"/>
            <w:tcBorders>
              <w:top w:val="nil"/>
            </w:tcBorders>
          </w:tcPr>
          <w:p w14:paraId="5E222545" w14:textId="77777777" w:rsidR="00B5362A" w:rsidRDefault="00D100B3">
            <w:pPr>
              <w:jc w:val="center"/>
            </w:pPr>
            <w:r>
              <w:t>600</w:t>
            </w:r>
          </w:p>
        </w:tc>
        <w:tc>
          <w:tcPr>
            <w:tcW w:w="3981" w:type="dxa"/>
            <w:tcBorders>
              <w:top w:val="nil"/>
            </w:tcBorders>
            <w:vAlign w:val="bottom"/>
          </w:tcPr>
          <w:p w14:paraId="5EFCBC5B" w14:textId="42100BEB" w:rsidR="00B5362A" w:rsidRDefault="00E66B16">
            <w:pPr>
              <w:jc w:val="center"/>
              <w:rPr>
                <w:color w:val="000000"/>
              </w:rPr>
            </w:pPr>
            <w:r>
              <w:rPr>
                <w:color w:val="000000"/>
              </w:rPr>
              <w:t>7,83 (электроны)</w:t>
            </w:r>
          </w:p>
        </w:tc>
        <w:tc>
          <w:tcPr>
            <w:tcW w:w="2795" w:type="dxa"/>
            <w:tcBorders>
              <w:top w:val="nil"/>
            </w:tcBorders>
            <w:vAlign w:val="bottom"/>
          </w:tcPr>
          <w:p w14:paraId="20D2D0C4" w14:textId="27BED41D" w:rsidR="00B5362A" w:rsidRPr="00E66B16" w:rsidRDefault="00E66B16">
            <w:pPr>
              <w:jc w:val="center"/>
              <w:rPr>
                <w:color w:val="000000"/>
              </w:rPr>
            </w:pPr>
            <w:r>
              <w:rPr>
                <w:color w:val="000000"/>
              </w:rPr>
              <w:t>8,07 (электроны)</w:t>
            </w:r>
          </w:p>
        </w:tc>
      </w:tr>
    </w:tbl>
    <w:p w14:paraId="562185FA" w14:textId="77777777" w:rsidR="00B5362A" w:rsidRDefault="00B5362A">
      <w:pPr>
        <w:ind w:firstLine="397"/>
        <w:jc w:val="both"/>
        <w:rPr>
          <w:iCs/>
        </w:rPr>
      </w:pPr>
    </w:p>
    <w:p w14:paraId="5F1DBD62" w14:textId="77777777" w:rsidR="00B5362A" w:rsidRDefault="00B5362A">
      <w:pPr>
        <w:ind w:firstLine="397"/>
        <w:jc w:val="both"/>
        <w:rPr>
          <w:color w:val="000000"/>
        </w:rPr>
      </w:pPr>
    </w:p>
    <w:p w14:paraId="12F73238" w14:textId="77777777" w:rsidR="00B5362A" w:rsidRDefault="00D100B3">
      <w:pPr>
        <w:ind w:firstLine="397"/>
        <w:jc w:val="both"/>
        <w:rPr>
          <w:iCs/>
        </w:rPr>
      </w:pPr>
      <w:r>
        <w:rPr>
          <w:iCs/>
        </w:rPr>
        <w:t xml:space="preserve">На рис. 1 представлены примеры температурных зависимостей коэффициента Зеебека. </w:t>
      </w:r>
      <w:r>
        <w:rPr>
          <w:iCs/>
          <w:color w:val="000000"/>
        </w:rPr>
        <w:t>Согласно знаку коэффициента Холла и коэффициента Зеебека при увеличении температуры синтеза с 500</w:t>
      </w:r>
      <w:r>
        <w:rPr>
          <w:iCs/>
          <w:color w:val="000000"/>
          <w:vertAlign w:val="superscript"/>
        </w:rPr>
        <w:t xml:space="preserve"> о</w:t>
      </w:r>
      <w:r>
        <w:rPr>
          <w:iCs/>
          <w:color w:val="000000"/>
        </w:rPr>
        <w:t>С</w:t>
      </w:r>
      <w:r>
        <w:rPr>
          <w:iCs/>
          <w:color w:val="000000"/>
          <w:vertAlign w:val="superscript"/>
        </w:rPr>
        <w:t xml:space="preserve"> </w:t>
      </w:r>
      <w:r>
        <w:rPr>
          <w:iCs/>
          <w:color w:val="000000"/>
        </w:rPr>
        <w:t xml:space="preserve">до 600 </w:t>
      </w:r>
      <w:r>
        <w:rPr>
          <w:iCs/>
          <w:color w:val="000000"/>
          <w:vertAlign w:val="superscript"/>
        </w:rPr>
        <w:t>о</w:t>
      </w:r>
      <w:r>
        <w:rPr>
          <w:iCs/>
          <w:color w:val="000000"/>
        </w:rPr>
        <w:t xml:space="preserve">С тип проводимости изменяется с "дырочной" на "электронную". </w:t>
      </w:r>
    </w:p>
    <w:p w14:paraId="304E4B1D" w14:textId="77777777" w:rsidR="00B5362A" w:rsidRDefault="00B5362A">
      <w:pPr>
        <w:ind w:firstLine="397"/>
        <w:jc w:val="both"/>
        <w:rPr>
          <w:iCs/>
        </w:rPr>
      </w:pPr>
    </w:p>
    <w:tbl>
      <w:tblPr>
        <w:tblW w:w="10328" w:type="dxa"/>
        <w:jc w:val="center"/>
        <w:tblLayout w:type="fixed"/>
        <w:tblLook w:val="04A0" w:firstRow="1" w:lastRow="0" w:firstColumn="1" w:lastColumn="0" w:noHBand="0" w:noVBand="1"/>
      </w:tblPr>
      <w:tblGrid>
        <w:gridCol w:w="10065"/>
        <w:gridCol w:w="263"/>
      </w:tblGrid>
      <w:tr w:rsidR="00B5362A" w14:paraId="15DBDAE7" w14:textId="77777777" w:rsidTr="001E53A2">
        <w:trPr>
          <w:trHeight w:val="2985"/>
          <w:jc w:val="center"/>
        </w:trPr>
        <w:tc>
          <w:tcPr>
            <w:tcW w:w="10065" w:type="dxa"/>
            <w:vAlign w:val="center"/>
          </w:tcPr>
          <w:p w14:paraId="46A456ED" w14:textId="6A13F1FB" w:rsidR="00B5362A" w:rsidRDefault="001E53A2" w:rsidP="001E53A2">
            <w:pPr>
              <w:jc w:val="center"/>
              <w:rPr>
                <w:lang w:val="en-US"/>
              </w:rPr>
            </w:pPr>
            <w:r>
              <w:rPr>
                <w:noProof/>
              </w:rPr>
              <w:lastRenderedPageBreak/>
              <w:drawing>
                <wp:inline distT="0" distB="0" distL="0" distR="0" wp14:anchorId="036CFBF1" wp14:editId="0218E806">
                  <wp:extent cx="4372610" cy="1971923"/>
                  <wp:effectExtent l="0" t="0" r="8890" b="9525"/>
                  <wp:docPr id="1" name="Диаграмма 1">
                    <a:extLst xmlns:a="http://schemas.openxmlformats.org/drawingml/2006/main">
                      <a:ext uri="{FF2B5EF4-FFF2-40B4-BE49-F238E27FC236}">
                        <a16:creationId xmlns:a16="http://schemas.microsoft.com/office/drawing/2014/main" id="{03B4D0A5-0D07-4071-9F4A-D57521FD9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A78F33" w14:textId="77777777" w:rsidR="001E53A2" w:rsidRDefault="001E53A2" w:rsidP="001E53A2">
            <w:pPr>
              <w:jc w:val="center"/>
              <w:rPr>
                <w:lang w:val="en-US"/>
              </w:rPr>
            </w:pPr>
          </w:p>
        </w:tc>
        <w:tc>
          <w:tcPr>
            <w:tcW w:w="263" w:type="dxa"/>
          </w:tcPr>
          <w:p w14:paraId="1C2D6DD9" w14:textId="77777777" w:rsidR="00B5362A" w:rsidRDefault="00B5362A">
            <w:pPr>
              <w:snapToGrid w:val="0"/>
              <w:ind w:firstLine="426"/>
            </w:pPr>
          </w:p>
        </w:tc>
      </w:tr>
      <w:tr w:rsidR="00B5362A" w14:paraId="211928E9" w14:textId="77777777" w:rsidTr="00004590">
        <w:trPr>
          <w:trHeight w:val="363"/>
          <w:jc w:val="center"/>
        </w:trPr>
        <w:tc>
          <w:tcPr>
            <w:tcW w:w="10328" w:type="dxa"/>
            <w:gridSpan w:val="2"/>
            <w:vAlign w:val="center"/>
          </w:tcPr>
          <w:p w14:paraId="2E6984D2" w14:textId="5E22E278" w:rsidR="00B5362A" w:rsidRDefault="00D100B3">
            <w:pPr>
              <w:ind w:firstLine="426"/>
              <w:jc w:val="center"/>
              <w:rPr>
                <w:sz w:val="22"/>
                <w:szCs w:val="22"/>
              </w:rPr>
            </w:pPr>
            <w:r>
              <w:rPr>
                <w:i/>
                <w:sz w:val="22"/>
                <w:szCs w:val="22"/>
              </w:rPr>
              <w:t>Рис. 1</w:t>
            </w:r>
            <w:r>
              <w:rPr>
                <w:b/>
                <w:i/>
                <w:sz w:val="22"/>
                <w:szCs w:val="22"/>
              </w:rPr>
              <w:t>.</w:t>
            </w:r>
            <w:r>
              <w:rPr>
                <w:sz w:val="22"/>
                <w:szCs w:val="22"/>
              </w:rPr>
              <w:t xml:space="preserve"> Температурные зависимости коэффициента Зеебека композитов (ZnO)</w:t>
            </w:r>
            <w:r>
              <w:rPr>
                <w:sz w:val="22"/>
                <w:szCs w:val="22"/>
                <w:vertAlign w:val="subscript"/>
              </w:rPr>
              <w:t>0,5</w:t>
            </w:r>
            <w:r>
              <w:rPr>
                <w:sz w:val="22"/>
                <w:szCs w:val="22"/>
              </w:rPr>
              <w:t>ZnTe</w:t>
            </w:r>
            <w:r>
              <w:rPr>
                <w:sz w:val="22"/>
                <w:szCs w:val="22"/>
                <w:vertAlign w:val="subscript"/>
              </w:rPr>
              <w:t>0,5</w:t>
            </w:r>
            <w:r>
              <w:rPr>
                <w:sz w:val="22"/>
                <w:szCs w:val="22"/>
              </w:rPr>
              <w:t xml:space="preserve">, синтезированных при температуре </w:t>
            </w:r>
            <w:r w:rsidR="001F06E8" w:rsidRPr="001F06E8">
              <w:rPr>
                <w:sz w:val="22"/>
                <w:szCs w:val="22"/>
              </w:rPr>
              <w:t xml:space="preserve">1 - </w:t>
            </w:r>
            <w:r>
              <w:rPr>
                <w:sz w:val="22"/>
                <w:szCs w:val="22"/>
              </w:rPr>
              <w:t xml:space="preserve">500 и </w:t>
            </w:r>
            <w:r w:rsidR="001F06E8" w:rsidRPr="001F06E8">
              <w:rPr>
                <w:sz w:val="22"/>
                <w:szCs w:val="22"/>
              </w:rPr>
              <w:t xml:space="preserve">2 - </w:t>
            </w:r>
            <w:r>
              <w:rPr>
                <w:sz w:val="22"/>
                <w:szCs w:val="22"/>
              </w:rPr>
              <w:t>600 ⁰С.</w:t>
            </w:r>
          </w:p>
        </w:tc>
      </w:tr>
    </w:tbl>
    <w:p w14:paraId="5D432419" w14:textId="77777777" w:rsidR="00B5362A" w:rsidRDefault="00B5362A">
      <w:pPr>
        <w:ind w:firstLine="426"/>
        <w:jc w:val="center"/>
      </w:pPr>
    </w:p>
    <w:p w14:paraId="73CCA86C" w14:textId="77777777" w:rsidR="00B5362A" w:rsidRDefault="00D100B3">
      <w:pPr>
        <w:ind w:firstLine="397"/>
        <w:jc w:val="both"/>
        <w:rPr>
          <w:color w:val="000000"/>
        </w:rPr>
      </w:pPr>
      <w:r>
        <w:rPr>
          <w:color w:val="000000"/>
        </w:rPr>
        <w:t xml:space="preserve">При температурах выше 270 </w:t>
      </w:r>
      <w:r>
        <w:rPr>
          <w:sz w:val="22"/>
          <w:szCs w:val="22"/>
        </w:rPr>
        <w:t>⁰</w:t>
      </w:r>
      <w:r>
        <w:rPr>
          <w:color w:val="000000"/>
        </w:rPr>
        <w:t xml:space="preserve">С наблюдается аномальное уменьшение градиента температуры на композите при практически неизменном потоке тепла через образец, проявляющееся как особенность на температурной зависимости коэффициента Зеебека. </w:t>
      </w:r>
    </w:p>
    <w:p w14:paraId="24C5BCE2" w14:textId="77777777" w:rsidR="002C36DA" w:rsidRDefault="002C36DA">
      <w:pPr>
        <w:ind w:firstLine="397"/>
        <w:jc w:val="both"/>
        <w:rPr>
          <w:color w:val="000000"/>
        </w:rPr>
      </w:pPr>
    </w:p>
    <w:p w14:paraId="50EBEFC9" w14:textId="77777777" w:rsidR="00B5362A" w:rsidRDefault="007623C4" w:rsidP="00217B8E">
      <w:pPr>
        <w:ind w:firstLine="397"/>
        <w:jc w:val="center"/>
        <w:rPr>
          <w:color w:val="000000"/>
        </w:rPr>
      </w:pPr>
      <w:bookmarkStart w:id="0" w:name="_GoBack"/>
      <w:bookmarkEnd w:id="0"/>
      <w:r>
        <w:rPr>
          <w:noProof/>
        </w:rPr>
        <w:drawing>
          <wp:inline distT="0" distB="0" distL="0" distR="0" wp14:anchorId="55460778" wp14:editId="6457DCB8">
            <wp:extent cx="4340860" cy="2234316"/>
            <wp:effectExtent l="0" t="0" r="2540" b="13970"/>
            <wp:docPr id="6" name="Диаграмма 6">
              <a:extLst xmlns:a="http://schemas.openxmlformats.org/drawingml/2006/main">
                <a:ext uri="{FF2B5EF4-FFF2-40B4-BE49-F238E27FC236}">
                  <a16:creationId xmlns:a16="http://schemas.microsoft.com/office/drawing/2014/main" id="{1A46C55C-0BE1-46E5-8078-D01F4CE6D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5AC904" w14:textId="77777777" w:rsidR="007623C4" w:rsidRDefault="007623C4" w:rsidP="00217B8E">
      <w:pPr>
        <w:ind w:firstLine="397"/>
        <w:jc w:val="center"/>
        <w:rPr>
          <w:color w:val="000000"/>
        </w:rPr>
      </w:pPr>
    </w:p>
    <w:p w14:paraId="625050C3" w14:textId="4E2962DF" w:rsidR="00B5362A" w:rsidRPr="007623C4" w:rsidRDefault="00D100B3" w:rsidP="001F06E8">
      <w:pPr>
        <w:ind w:firstLine="397"/>
        <w:jc w:val="center"/>
        <w:rPr>
          <w:sz w:val="22"/>
          <w:szCs w:val="22"/>
        </w:rPr>
      </w:pPr>
      <w:r>
        <w:rPr>
          <w:i/>
          <w:sz w:val="22"/>
          <w:szCs w:val="22"/>
        </w:rPr>
        <w:t>Рис. 2</w:t>
      </w:r>
      <w:r>
        <w:rPr>
          <w:b/>
          <w:i/>
          <w:sz w:val="22"/>
          <w:szCs w:val="22"/>
        </w:rPr>
        <w:t>.</w:t>
      </w:r>
      <w:r>
        <w:rPr>
          <w:sz w:val="22"/>
          <w:szCs w:val="22"/>
        </w:rPr>
        <w:t xml:space="preserve"> Температурные зависимости удельной проводимости композитов (ZnO)</w:t>
      </w:r>
      <w:r>
        <w:rPr>
          <w:sz w:val="22"/>
          <w:szCs w:val="22"/>
          <w:vertAlign w:val="subscript"/>
        </w:rPr>
        <w:t>0,5</w:t>
      </w:r>
      <w:r>
        <w:rPr>
          <w:sz w:val="22"/>
          <w:szCs w:val="22"/>
        </w:rPr>
        <w:t>ZnTe</w:t>
      </w:r>
      <w:r>
        <w:rPr>
          <w:sz w:val="22"/>
          <w:szCs w:val="22"/>
          <w:vertAlign w:val="subscript"/>
        </w:rPr>
        <w:t>0,5</w:t>
      </w:r>
      <w:r>
        <w:rPr>
          <w:sz w:val="22"/>
          <w:szCs w:val="22"/>
        </w:rPr>
        <w:t xml:space="preserve">, синтезированных при температуре </w:t>
      </w:r>
      <w:r w:rsidR="001F06E8" w:rsidRPr="001F06E8">
        <w:rPr>
          <w:sz w:val="22"/>
          <w:szCs w:val="22"/>
        </w:rPr>
        <w:t xml:space="preserve">1 - </w:t>
      </w:r>
      <w:r>
        <w:rPr>
          <w:sz w:val="22"/>
          <w:szCs w:val="22"/>
        </w:rPr>
        <w:t xml:space="preserve">500 и </w:t>
      </w:r>
      <w:r w:rsidR="001F06E8" w:rsidRPr="001F06E8">
        <w:rPr>
          <w:sz w:val="22"/>
          <w:szCs w:val="22"/>
        </w:rPr>
        <w:t xml:space="preserve">2 - </w:t>
      </w:r>
      <w:r>
        <w:rPr>
          <w:sz w:val="22"/>
          <w:szCs w:val="22"/>
        </w:rPr>
        <w:t>600 ⁰С.</w:t>
      </w:r>
      <w:r w:rsidR="007623C4" w:rsidRPr="007623C4">
        <w:rPr>
          <w:sz w:val="22"/>
          <w:szCs w:val="22"/>
        </w:rPr>
        <w:t xml:space="preserve"> </w:t>
      </w:r>
    </w:p>
    <w:p w14:paraId="3E372F31" w14:textId="77777777" w:rsidR="00B5362A" w:rsidRDefault="00B5362A">
      <w:pPr>
        <w:ind w:firstLine="397"/>
        <w:jc w:val="center"/>
        <w:rPr>
          <w:color w:val="000000"/>
        </w:rPr>
      </w:pPr>
    </w:p>
    <w:p w14:paraId="661A4949" w14:textId="77777777" w:rsidR="00B5362A" w:rsidRDefault="00D100B3">
      <w:pPr>
        <w:ind w:firstLine="397"/>
        <w:jc w:val="both"/>
        <w:rPr>
          <w:color w:val="000000"/>
        </w:rPr>
      </w:pPr>
      <w:r>
        <w:rPr>
          <w:color w:val="000000"/>
        </w:rPr>
        <w:t xml:space="preserve">При понижении температуры удельная электропроводность слабо уменьшается по закону близкому к линейному. Такая зависимость нетипична как для невырожденных, так и для вырожденных полупроводников и металлов и может быть обусловлена одновременным переносом заряда в фазе </w:t>
      </w:r>
      <w:r>
        <w:rPr>
          <w:color w:val="000000"/>
          <w:lang w:val="en-US"/>
        </w:rPr>
        <w:t>ZnO</w:t>
      </w:r>
      <w:r w:rsidRPr="00AC153C">
        <w:rPr>
          <w:color w:val="000000"/>
        </w:rPr>
        <w:t xml:space="preserve"> </w:t>
      </w:r>
      <w:r>
        <w:rPr>
          <w:color w:val="000000"/>
        </w:rPr>
        <w:t xml:space="preserve">и </w:t>
      </w:r>
      <w:r>
        <w:rPr>
          <w:color w:val="000000"/>
          <w:lang w:val="en-US"/>
        </w:rPr>
        <w:t>ZnTe</w:t>
      </w:r>
      <w:r w:rsidRPr="00AC153C">
        <w:rPr>
          <w:color w:val="000000"/>
        </w:rPr>
        <w:t xml:space="preserve"> </w:t>
      </w:r>
      <w:r>
        <w:rPr>
          <w:color w:val="000000"/>
        </w:rPr>
        <w:t>в композите.</w:t>
      </w:r>
    </w:p>
    <w:p w14:paraId="197A513C" w14:textId="77777777" w:rsidR="00B5362A" w:rsidRDefault="00B5362A">
      <w:pPr>
        <w:ind w:firstLine="397"/>
        <w:jc w:val="both"/>
        <w:rPr>
          <w:color w:val="000000"/>
        </w:rPr>
      </w:pPr>
    </w:p>
    <w:p w14:paraId="048B2ADD" w14:textId="77777777" w:rsidR="00B5362A" w:rsidRDefault="00D100B3">
      <w:pPr>
        <w:ind w:firstLine="426"/>
        <w:jc w:val="center"/>
        <w:rPr>
          <w:b/>
          <w:color w:val="000000"/>
          <w:shd w:val="clear" w:color="auto" w:fill="FFFFFF"/>
        </w:rPr>
      </w:pPr>
      <w:r>
        <w:rPr>
          <w:b/>
          <w:color w:val="000000"/>
          <w:shd w:val="clear" w:color="auto" w:fill="FFFFFF"/>
        </w:rPr>
        <w:t>Литература</w:t>
      </w:r>
    </w:p>
    <w:p w14:paraId="69F81F5F" w14:textId="77777777" w:rsidR="00B5362A" w:rsidRDefault="00D100B3">
      <w:pPr>
        <w:ind w:firstLine="426"/>
        <w:jc w:val="center"/>
        <w:rPr>
          <w:b/>
          <w:lang w:val="en-US"/>
        </w:rPr>
      </w:pPr>
      <w:r>
        <w:rPr>
          <w:lang w:val="en-US"/>
        </w:rPr>
        <w:t xml:space="preserve"> </w:t>
      </w:r>
    </w:p>
    <w:p w14:paraId="6ED87D77" w14:textId="77777777" w:rsidR="00B5362A" w:rsidRDefault="00377371">
      <w:pPr>
        <w:pStyle w:val="af1"/>
        <w:numPr>
          <w:ilvl w:val="0"/>
          <w:numId w:val="2"/>
        </w:numPr>
        <w:ind w:left="709" w:hanging="283"/>
        <w:rPr>
          <w:i/>
          <w:szCs w:val="20"/>
          <w:lang w:val="en-US"/>
        </w:rPr>
      </w:pPr>
      <w:hyperlink r:id="rId10" w:tooltip="Баранов Андрей Николаевич (перейти на страницу сотрудника)">
        <w:r w:rsidR="00D100B3">
          <w:rPr>
            <w:rStyle w:val="a4"/>
            <w:color w:val="auto"/>
            <w:u w:val="none"/>
            <w:lang w:val="en-US"/>
          </w:rPr>
          <w:t>Baranov Andrei N.</w:t>
        </w:r>
      </w:hyperlink>
      <w:r w:rsidR="00D100B3">
        <w:rPr>
          <w:lang w:val="en-US"/>
        </w:rPr>
        <w:t xml:space="preserve">, </w:t>
      </w:r>
      <w:hyperlink r:id="rId11" w:tooltip="Кытин Владимир Геннадьевич (перейти на страницу сотрудника)">
        <w:r w:rsidR="00D100B3">
          <w:rPr>
            <w:rStyle w:val="a4"/>
            <w:color w:val="auto"/>
            <w:u w:val="none"/>
            <w:lang w:val="en-US"/>
          </w:rPr>
          <w:t>Kytin Vladimir G.</w:t>
        </w:r>
      </w:hyperlink>
      <w:r w:rsidR="00D100B3">
        <w:rPr>
          <w:lang w:val="en-US"/>
        </w:rPr>
        <w:t xml:space="preserve">, </w:t>
      </w:r>
      <w:hyperlink r:id="rId12" w:tooltip="Митюшев Никита Дмитриевич (перейти на страницу сотрудника)">
        <w:r w:rsidR="00D100B3">
          <w:rPr>
            <w:rStyle w:val="a4"/>
            <w:color w:val="auto"/>
            <w:u w:val="none"/>
            <w:lang w:val="en-US"/>
          </w:rPr>
          <w:t>Mitiushev Nikita D.</w:t>
        </w:r>
      </w:hyperlink>
      <w:r w:rsidR="00D100B3">
        <w:rPr>
          <w:lang w:val="en-US"/>
        </w:rPr>
        <w:t xml:space="preserve">, </w:t>
      </w:r>
      <w:hyperlink r:id="rId13" w:tooltip="Фирсов Александр Александрович (перейти на страницу сотрудника)">
        <w:r w:rsidR="00D100B3">
          <w:rPr>
            <w:rStyle w:val="a4"/>
            <w:color w:val="auto"/>
            <w:u w:val="none"/>
            <w:lang w:val="en-US"/>
          </w:rPr>
          <w:t>Firsov Anatoly A.</w:t>
        </w:r>
      </w:hyperlink>
      <w:r w:rsidR="00D100B3">
        <w:rPr>
          <w:lang w:val="en-US"/>
        </w:rPr>
        <w:t xml:space="preserve">, </w:t>
      </w:r>
      <w:hyperlink r:id="rId14" w:tooltip="Syuy Alexander V. (перейти на страницу сотрудника)">
        <w:r w:rsidR="00D100B3">
          <w:rPr>
            <w:rStyle w:val="a4"/>
            <w:color w:val="auto"/>
            <w:u w:val="none"/>
            <w:lang w:val="en-US"/>
          </w:rPr>
          <w:t>Syuy Alexander V.</w:t>
        </w:r>
      </w:hyperlink>
      <w:r w:rsidR="00D100B3">
        <w:rPr>
          <w:lang w:val="en-US"/>
        </w:rPr>
        <w:t xml:space="preserve">, </w:t>
      </w:r>
      <w:hyperlink r:id="rId15" w:tooltip="Константинова Елизавета Александровна (перейти на страницу сотрудника)">
        <w:r w:rsidR="00D100B3">
          <w:rPr>
            <w:rStyle w:val="a4"/>
            <w:color w:val="auto"/>
            <w:u w:val="none"/>
            <w:lang w:val="en-US"/>
          </w:rPr>
          <w:t>Konstantinova Elizaveta A.</w:t>
        </w:r>
      </w:hyperlink>
      <w:r w:rsidR="00D100B3">
        <w:rPr>
          <w:lang w:val="en-US"/>
        </w:rPr>
        <w:t xml:space="preserve">, </w:t>
      </w:r>
      <w:hyperlink r:id="rId16" w:tooltip="Апрелева Александра Сергеевна (перейти на страницу сотрудника)">
        <w:r w:rsidR="00D100B3">
          <w:rPr>
            <w:rStyle w:val="a4"/>
            <w:color w:val="auto"/>
            <w:u w:val="none"/>
            <w:lang w:val="en-US"/>
          </w:rPr>
          <w:t>Apreleva Alexandra S.</w:t>
        </w:r>
      </w:hyperlink>
      <w:r w:rsidR="00D100B3">
        <w:rPr>
          <w:lang w:val="en-US"/>
        </w:rPr>
        <w:t xml:space="preserve">, </w:t>
      </w:r>
      <w:hyperlink r:id="rId17" w:tooltip="Кульбачинский Владимир Анатольевич (перейти на страницу сотрудника)">
        <w:r w:rsidR="00D100B3">
          <w:rPr>
            <w:rStyle w:val="a4"/>
            <w:color w:val="auto"/>
            <w:u w:val="none"/>
            <w:lang w:val="en-US"/>
          </w:rPr>
          <w:t>Kulbachinskii Vladimir A.</w:t>
        </w:r>
      </w:hyperlink>
      <w:r w:rsidR="00D100B3">
        <w:rPr>
          <w:lang w:val="en-US"/>
        </w:rPr>
        <w:t xml:space="preserve">, </w:t>
      </w:r>
      <w:hyperlink r:id="rId18" w:tooltip="Муханов Владимир Анатольевич (перейти на страницу сотрудника)">
        <w:r w:rsidR="00D100B3">
          <w:rPr>
            <w:rStyle w:val="a4"/>
            <w:color w:val="auto"/>
            <w:u w:val="none"/>
            <w:lang w:val="en-US"/>
          </w:rPr>
          <w:t>Mukhanov Vladimir A.</w:t>
        </w:r>
      </w:hyperlink>
      <w:r w:rsidR="00D100B3">
        <w:rPr>
          <w:lang w:val="en-US"/>
        </w:rPr>
        <w:t xml:space="preserve">, </w:t>
      </w:r>
      <w:hyperlink r:id="rId19" w:tooltip="Solozhenko V.L. (перейти на страницу сотрудника)">
        <w:r w:rsidR="00D100B3">
          <w:rPr>
            <w:rStyle w:val="a4"/>
            <w:color w:val="auto"/>
            <w:u w:val="none"/>
            <w:lang w:val="en-US"/>
          </w:rPr>
          <w:t>Solozhenko Vladimir L.</w:t>
        </w:r>
      </w:hyperlink>
      <w:r w:rsidR="00D100B3">
        <w:rPr>
          <w:lang w:val="en-US"/>
        </w:rPr>
        <w:t xml:space="preserve"> </w:t>
      </w:r>
      <w:hyperlink r:id="rId20" w:tooltip="Перейти на страницу статьи">
        <w:r w:rsidR="00D100B3">
          <w:rPr>
            <w:rStyle w:val="a4"/>
            <w:color w:val="auto"/>
            <w:u w:val="none"/>
            <w:lang w:val="en-US"/>
          </w:rPr>
          <w:t>ZnO-ZnTe composites crystallized from melt at high pressure: Thermoelectric and transport properties</w:t>
        </w:r>
      </w:hyperlink>
      <w:r w:rsidR="00D100B3">
        <w:rPr>
          <w:lang w:val="en-US"/>
        </w:rPr>
        <w:t xml:space="preserve">. </w:t>
      </w:r>
      <w:hyperlink r:id="rId21" w:tooltip="Перейти на страницу журнала">
        <w:r w:rsidR="00D100B3">
          <w:rPr>
            <w:rStyle w:val="a4"/>
            <w:iCs/>
            <w:color w:val="auto"/>
            <w:u w:val="none"/>
            <w:lang w:val="en-US"/>
          </w:rPr>
          <w:t>Journal of Alloys and Compounds</w:t>
        </w:r>
      </w:hyperlink>
      <w:r w:rsidR="00D100B3">
        <w:rPr>
          <w:lang w:val="en-US"/>
        </w:rPr>
        <w:t>, 2025, V. 1040, P.183501 DOI: 10.1016/j.jallcom.2025.183501</w:t>
      </w:r>
    </w:p>
    <w:sectPr w:rsidR="00B5362A">
      <w:footerReference w:type="even" r:id="rId22"/>
      <w:footerReference w:type="default" r:id="rId23"/>
      <w:footerReference w:type="first" r:id="rId24"/>
      <w:pgSz w:w="11906" w:h="16838"/>
      <w:pgMar w:top="1134" w:right="1361" w:bottom="1247" w:left="136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B155" w14:textId="77777777" w:rsidR="00377371" w:rsidRDefault="00377371">
      <w:r>
        <w:separator/>
      </w:r>
    </w:p>
  </w:endnote>
  <w:endnote w:type="continuationSeparator" w:id="0">
    <w:p w14:paraId="7638C1DB" w14:textId="77777777" w:rsidR="00377371" w:rsidRDefault="0037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3A81" w14:textId="77777777" w:rsidR="00B5362A" w:rsidRDefault="00B536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176E" w14:textId="77777777" w:rsidR="00B5362A" w:rsidRDefault="00B5362A">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D2A" w14:textId="77777777" w:rsidR="00B5362A" w:rsidRDefault="00B5362A">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8FF6C" w14:textId="77777777" w:rsidR="00377371" w:rsidRDefault="00377371">
      <w:r>
        <w:separator/>
      </w:r>
    </w:p>
  </w:footnote>
  <w:footnote w:type="continuationSeparator" w:id="0">
    <w:p w14:paraId="7E4FCE67" w14:textId="77777777" w:rsidR="00377371" w:rsidRDefault="0037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9CC"/>
    <w:multiLevelType w:val="multilevel"/>
    <w:tmpl w:val="D23E30D0"/>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49150B"/>
    <w:multiLevelType w:val="multilevel"/>
    <w:tmpl w:val="00B6A2A6"/>
    <w:lvl w:ilvl="0">
      <w:start w:val="1"/>
      <w:numFmt w:val="decimal"/>
      <w:lvlText w:val="%1."/>
      <w:lvlJc w:val="left"/>
      <w:pPr>
        <w:tabs>
          <w:tab w:val="num" w:pos="0"/>
        </w:tabs>
        <w:ind w:left="928" w:hanging="360"/>
      </w:pPr>
      <w:rPr>
        <w:i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9CA22BA"/>
    <w:multiLevelType w:val="multilevel"/>
    <w:tmpl w:val="C7D0F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2A"/>
    <w:rsid w:val="00004590"/>
    <w:rsid w:val="00051E13"/>
    <w:rsid w:val="000C509F"/>
    <w:rsid w:val="000D3554"/>
    <w:rsid w:val="000F2870"/>
    <w:rsid w:val="001E0CD8"/>
    <w:rsid w:val="001E53A2"/>
    <w:rsid w:val="001F06E8"/>
    <w:rsid w:val="00217B8E"/>
    <w:rsid w:val="0022620C"/>
    <w:rsid w:val="00296419"/>
    <w:rsid w:val="002C36DA"/>
    <w:rsid w:val="00377371"/>
    <w:rsid w:val="004815A0"/>
    <w:rsid w:val="005C01BC"/>
    <w:rsid w:val="005F2AE4"/>
    <w:rsid w:val="006240A7"/>
    <w:rsid w:val="006506F1"/>
    <w:rsid w:val="007623C4"/>
    <w:rsid w:val="00AC153C"/>
    <w:rsid w:val="00B5362A"/>
    <w:rsid w:val="00B5583E"/>
    <w:rsid w:val="00BC5A75"/>
    <w:rsid w:val="00C20206"/>
    <w:rsid w:val="00D100B3"/>
    <w:rsid w:val="00D87F6F"/>
    <w:rsid w:val="00DE3007"/>
    <w:rsid w:val="00E06F5E"/>
    <w:rsid w:val="00E66B1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4201"/>
  <w15:docId w15:val="{7F4B8385-7C58-4C27-A5FE-A417CD1B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s="Times New Roman"/>
      <w:lang w:val="ru-RU"/>
    </w:rPr>
  </w:style>
  <w:style w:type="paragraph" w:styleId="1">
    <w:name w:val="heading 1"/>
    <w:basedOn w:val="a"/>
    <w:next w:val="a"/>
    <w:uiPriority w:val="9"/>
    <w:qFormat/>
    <w:pPr>
      <w:spacing w:beforeAutospacing="1" w:afterAutospacing="1"/>
      <w:outlineLvl w:val="0"/>
    </w:pPr>
    <w:rPr>
      <w:sz w:val="40"/>
    </w:rPr>
  </w:style>
  <w:style w:type="paragraph" w:styleId="2">
    <w:name w:val="heading 2"/>
    <w:basedOn w:val="a"/>
    <w:next w:val="a"/>
    <w:uiPriority w:val="9"/>
    <w:semiHidden/>
    <w:unhideWhenUsed/>
    <w:qFormat/>
    <w:pPr>
      <w:keepNext/>
      <w:pageBreakBefore/>
      <w:numPr>
        <w:ilvl w:val="1"/>
        <w:numId w:val="1"/>
      </w:numPr>
      <w:spacing w:after="120" w:line="360" w:lineRule="auto"/>
      <w:ind w:firstLine="709"/>
      <w:jc w:val="center"/>
      <w:outlineLvl w:val="1"/>
    </w:pPr>
    <w:rPr>
      <w:b/>
      <w:bCs/>
      <w:iCs/>
      <w:sz w:val="28"/>
      <w:szCs w:val="28"/>
    </w:rPr>
  </w:style>
  <w:style w:type="paragraph" w:styleId="3">
    <w:name w:val="heading 3"/>
    <w:basedOn w:val="a"/>
    <w:next w:val="a"/>
    <w:uiPriority w:val="9"/>
    <w:semiHidden/>
    <w:unhideWhenUsed/>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qFormat/>
    <w:rPr>
      <w:b/>
      <w:bCs/>
      <w:iCs/>
      <w:sz w:val="28"/>
      <w:szCs w:val="28"/>
      <w:lang w:val="ru-RU"/>
    </w:rPr>
  </w:style>
  <w:style w:type="character" w:styleId="a3">
    <w:name w:val="Emphasis"/>
    <w:qFormat/>
    <w:rPr>
      <w:i/>
      <w:iCs/>
    </w:rPr>
  </w:style>
  <w:style w:type="character" w:styleId="a4">
    <w:name w:val="Hyperlink"/>
    <w:rPr>
      <w:color w:val="0000FF"/>
      <w:u w:val="single"/>
    </w:rPr>
  </w:style>
  <w:style w:type="character" w:styleId="a5">
    <w:name w:val="page number"/>
    <w:basedOn w:val="a0"/>
  </w:style>
  <w:style w:type="character" w:customStyle="1" w:styleId="a6">
    <w:name w:val="Без интервала Знак"/>
    <w:qFormat/>
    <w:rPr>
      <w:rFonts w:ascii="Calibri" w:hAnsi="Calibri" w:cs="Calibri"/>
      <w:sz w:val="22"/>
      <w:szCs w:val="22"/>
      <w:lang w:val="ru-RU"/>
    </w:rPr>
  </w:style>
  <w:style w:type="character" w:styleId="a7">
    <w:name w:val="Placeholder Text"/>
    <w:qFormat/>
    <w:rPr>
      <w:color w:val="808080"/>
    </w:rPr>
  </w:style>
  <w:style w:type="character" w:customStyle="1" w:styleId="a8">
    <w:name w:val="Текст выноски Знак"/>
    <w:qFormat/>
    <w:rPr>
      <w:rFonts w:ascii="Tahoma" w:hAnsi="Tahoma" w:cs="Tahoma"/>
      <w:sz w:val="16"/>
      <w:szCs w:val="16"/>
    </w:rPr>
  </w:style>
  <w:style w:type="character" w:customStyle="1" w:styleId="a9">
    <w:name w:val="Верхний колонтитул Знак"/>
    <w:basedOn w:val="a0"/>
    <w:qFormat/>
    <w:rPr>
      <w:sz w:val="24"/>
      <w:szCs w:val="24"/>
    </w:rPr>
  </w:style>
  <w:style w:type="character" w:customStyle="1" w:styleId="WW8Num1z0">
    <w:name w:val="WW8Num1z0"/>
    <w:qFormat/>
    <w:rPr>
      <w:i w:val="0"/>
    </w:rPr>
  </w:style>
  <w:style w:type="character" w:customStyle="1" w:styleId="WW8Num2z0">
    <w:name w:val="WW8Num2z0"/>
    <w:qFormat/>
    <w:rPr>
      <w:i w:val="0"/>
    </w:rPr>
  </w:style>
  <w:style w:type="character" w:customStyle="1" w:styleId="WW8Num3z0">
    <w:name w:val="WW8Num3z0"/>
    <w:qFormat/>
  </w:style>
  <w:style w:type="character" w:customStyle="1" w:styleId="WW8Num5z0">
    <w:name w:val="WW8Num5z0"/>
    <w:qFormat/>
    <w:rPr>
      <w:b w:val="0"/>
      <w:color w:val="000000"/>
    </w:rPr>
  </w:style>
  <w:style w:type="character" w:customStyle="1" w:styleId="apple-converted-space">
    <w:name w:val="apple-converted-space"/>
    <w:basedOn w:val="a0"/>
    <w:qFormat/>
  </w:style>
  <w:style w:type="paragraph" w:customStyle="1" w:styleId="Heading">
    <w:name w:val="Heading"/>
    <w:basedOn w:val="a"/>
    <w:next w:val="aa"/>
    <w:qFormat/>
    <w:pPr>
      <w:keepNext/>
      <w:spacing w:before="240" w:after="120"/>
    </w:pPr>
    <w:rPr>
      <w:rFonts w:ascii="Arial" w:eastAsia="DejaVu Sans" w:hAnsi="Arial" w:cs="DejaVu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d">
    <w:name w:val="footer"/>
    <w:basedOn w:val="a"/>
  </w:style>
  <w:style w:type="paragraph" w:styleId="ae">
    <w:name w:val="header"/>
    <w:basedOn w:val="a"/>
    <w:pPr>
      <w:tabs>
        <w:tab w:val="center" w:pos="4677"/>
        <w:tab w:val="right" w:pos="9355"/>
      </w:tabs>
    </w:pPr>
  </w:style>
  <w:style w:type="paragraph" w:styleId="af">
    <w:name w:val="No Spacing"/>
    <w:qFormat/>
    <w:rPr>
      <w:rFonts w:ascii="Calibri" w:eastAsia="Times New Roman" w:hAnsi="Calibri" w:cs="Calibri"/>
      <w:sz w:val="22"/>
      <w:szCs w:val="22"/>
      <w:lang w:val="ru-RU"/>
    </w:rPr>
  </w:style>
  <w:style w:type="paragraph" w:styleId="af0">
    <w:name w:val="Normal (Web)"/>
    <w:basedOn w:val="a"/>
    <w:qFormat/>
    <w:pPr>
      <w:spacing w:before="280" w:after="280"/>
    </w:pPr>
  </w:style>
  <w:style w:type="paragraph" w:styleId="af1">
    <w:name w:val="List Paragraph"/>
    <w:basedOn w:val="a"/>
    <w:qFormat/>
    <w:pPr>
      <w:ind w:left="720"/>
      <w:contextualSpacing/>
    </w:pPr>
  </w:style>
  <w:style w:type="paragraph" w:styleId="af2">
    <w:name w:val="Balloon Text"/>
    <w:basedOn w:val="a"/>
    <w:qFormat/>
    <w:rPr>
      <w:rFonts w:ascii="Tahoma" w:hAnsi="Tahoma" w:cs="Tahoma"/>
      <w:sz w:val="16"/>
      <w:szCs w:val="16"/>
      <w:lang w:val="en-US"/>
    </w:rPr>
  </w:style>
  <w:style w:type="paragraph" w:styleId="af3">
    <w:name w:val="Subtitle"/>
    <w:basedOn w:val="a"/>
    <w:next w:val="a"/>
    <w:uiPriority w:val="11"/>
    <w:qFormat/>
    <w:pPr>
      <w:spacing w:afterAutospacing="1"/>
    </w:pPr>
    <w:rPr>
      <w:color w:val="808080"/>
      <w:sz w:val="30"/>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styleId="af4">
    <w:name w:val="Title"/>
    <w:basedOn w:val="a"/>
    <w:next w:val="a"/>
    <w:uiPriority w:val="10"/>
    <w:qFormat/>
    <w:pPr>
      <w:spacing w:afterAutospacing="1"/>
    </w:pPr>
    <w:rPr>
      <w:sz w:val="5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af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stina.msu.ru/workers/83875775/" TargetMode="External"/><Relationship Id="rId18" Type="http://schemas.openxmlformats.org/officeDocument/2006/relationships/hyperlink" Target="https://istina.msu.ru/workers/4453753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stina.msu.ru/journals/70867/" TargetMode="External"/><Relationship Id="rId7" Type="http://schemas.openxmlformats.org/officeDocument/2006/relationships/endnotes" Target="endnotes.xml"/><Relationship Id="rId12" Type="http://schemas.openxmlformats.org/officeDocument/2006/relationships/hyperlink" Target="https://istina.msu.ru/workers/511041404/" TargetMode="External"/><Relationship Id="rId17" Type="http://schemas.openxmlformats.org/officeDocument/2006/relationships/hyperlink" Target="https://istina.msu.ru/workers/5178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tina.msu.ru/workers/391526015/" TargetMode="External"/><Relationship Id="rId20" Type="http://schemas.openxmlformats.org/officeDocument/2006/relationships/hyperlink" Target="https://istina.msu.ru/publications/article/7922534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ina.msu.ru/workers/54000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stina.msu.ru/workers/415137/" TargetMode="External"/><Relationship Id="rId23" Type="http://schemas.openxmlformats.org/officeDocument/2006/relationships/footer" Target="footer2.xml"/><Relationship Id="rId10" Type="http://schemas.openxmlformats.org/officeDocument/2006/relationships/hyperlink" Target="https://istina.msu.ru/workers/388018/" TargetMode="External"/><Relationship Id="rId19" Type="http://schemas.openxmlformats.org/officeDocument/2006/relationships/hyperlink" Target="https://istina.msu.ru/workers/57956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istina.msu.ru/workers/582617925/"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25046825580146"/>
          <c:y val="8.4380032206119171E-2"/>
          <c:w val="0.78051781430312783"/>
          <c:h val="0.7300802617064171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Лист1!$A$3:$A$52</c:f>
              <c:numCache>
                <c:formatCode>General</c:formatCode>
                <c:ptCount val="50"/>
                <c:pt idx="0">
                  <c:v>337.47644091532669</c:v>
                </c:pt>
                <c:pt idx="1">
                  <c:v>323.97415756194431</c:v>
                </c:pt>
                <c:pt idx="2">
                  <c:v>310.60480241038653</c:v>
                </c:pt>
                <c:pt idx="3">
                  <c:v>296.86095333913079</c:v>
                </c:pt>
                <c:pt idx="4">
                  <c:v>283.82238181852512</c:v>
                </c:pt>
                <c:pt idx="5">
                  <c:v>270.97544456634125</c:v>
                </c:pt>
                <c:pt idx="6">
                  <c:v>257.73108274067579</c:v>
                </c:pt>
                <c:pt idx="7">
                  <c:v>244.85175897240063</c:v>
                </c:pt>
                <c:pt idx="8">
                  <c:v>232.05299594444762</c:v>
                </c:pt>
                <c:pt idx="9">
                  <c:v>219.56528784167602</c:v>
                </c:pt>
                <c:pt idx="10">
                  <c:v>206.60401379963204</c:v>
                </c:pt>
                <c:pt idx="11">
                  <c:v>194.02930457434019</c:v>
                </c:pt>
                <c:pt idx="12">
                  <c:v>181.24073340292944</c:v>
                </c:pt>
                <c:pt idx="13">
                  <c:v>168.74774393746696</c:v>
                </c:pt>
                <c:pt idx="14">
                  <c:v>155.9466164396454</c:v>
                </c:pt>
                <c:pt idx="15">
                  <c:v>143.9015818912309</c:v>
                </c:pt>
                <c:pt idx="16">
                  <c:v>130.92770415677202</c:v>
                </c:pt>
                <c:pt idx="17">
                  <c:v>118.72428164729686</c:v>
                </c:pt>
                <c:pt idx="18">
                  <c:v>106.27191196814555</c:v>
                </c:pt>
                <c:pt idx="19">
                  <c:v>94.904955633989388</c:v>
                </c:pt>
                <c:pt idx="20">
                  <c:v>78.420774206892759</c:v>
                </c:pt>
                <c:pt idx="27">
                  <c:v>337.41572292554235</c:v>
                </c:pt>
                <c:pt idx="28">
                  <c:v>323.97415756194431</c:v>
                </c:pt>
                <c:pt idx="29">
                  <c:v>310.45528345818224</c:v>
                </c:pt>
                <c:pt idx="30">
                  <c:v>296.89054176236834</c:v>
                </c:pt>
                <c:pt idx="31">
                  <c:v>283.82238181852512</c:v>
                </c:pt>
                <c:pt idx="32">
                  <c:v>270.71456496671533</c:v>
                </c:pt>
                <c:pt idx="33">
                  <c:v>257.73108274067579</c:v>
                </c:pt>
                <c:pt idx="34">
                  <c:v>244.85175897240063</c:v>
                </c:pt>
                <c:pt idx="35">
                  <c:v>232.05299594444762</c:v>
                </c:pt>
                <c:pt idx="36">
                  <c:v>219.59355903920411</c:v>
                </c:pt>
                <c:pt idx="37">
                  <c:v>206.60401379963204</c:v>
                </c:pt>
                <c:pt idx="38">
                  <c:v>193.97294367570677</c:v>
                </c:pt>
                <c:pt idx="39">
                  <c:v>181.24073340292944</c:v>
                </c:pt>
                <c:pt idx="40">
                  <c:v>168.8320849419926</c:v>
                </c:pt>
                <c:pt idx="41">
                  <c:v>155.9466164396454</c:v>
                </c:pt>
                <c:pt idx="42">
                  <c:v>143.48377029397423</c:v>
                </c:pt>
                <c:pt idx="43">
                  <c:v>130.92770415677202</c:v>
                </c:pt>
                <c:pt idx="44">
                  <c:v>118.6971475689985</c:v>
                </c:pt>
                <c:pt idx="45">
                  <c:v>106.56357126956708</c:v>
                </c:pt>
                <c:pt idx="46">
                  <c:v>94.750651696290888</c:v>
                </c:pt>
                <c:pt idx="47">
                  <c:v>77.697535708896211</c:v>
                </c:pt>
                <c:pt idx="48">
                  <c:v>317.7403922064629</c:v>
                </c:pt>
                <c:pt idx="49">
                  <c:v>330.68451930209829</c:v>
                </c:pt>
              </c:numCache>
            </c:numRef>
          </c:xVal>
          <c:yVal>
            <c:numRef>
              <c:f>Лист1!$B$3:$B$52</c:f>
              <c:numCache>
                <c:formatCode>General</c:formatCode>
                <c:ptCount val="50"/>
                <c:pt idx="2">
                  <c:v>-1079.5109578319075</c:v>
                </c:pt>
                <c:pt idx="3">
                  <c:v>-327.25718366849185</c:v>
                </c:pt>
                <c:pt idx="5">
                  <c:v>-279.84779398719644</c:v>
                </c:pt>
                <c:pt idx="7">
                  <c:v>-219.12486481637782</c:v>
                </c:pt>
                <c:pt idx="9">
                  <c:v>-196.27085244562457</c:v>
                </c:pt>
                <c:pt idx="11">
                  <c:v>-179.75217348774385</c:v>
                </c:pt>
                <c:pt idx="13">
                  <c:v>-171.3374015324047</c:v>
                </c:pt>
                <c:pt idx="15">
                  <c:v>-157.77432131621947</c:v>
                </c:pt>
                <c:pt idx="17">
                  <c:v>-132.41026063637955</c:v>
                </c:pt>
                <c:pt idx="19">
                  <c:v>-107.93324139668303</c:v>
                </c:pt>
                <c:pt idx="20">
                  <c:v>-91.641813081505362</c:v>
                </c:pt>
                <c:pt idx="27">
                  <c:v>387.50800856057759</c:v>
                </c:pt>
                <c:pt idx="28">
                  <c:v>262.25123449924149</c:v>
                </c:pt>
                <c:pt idx="29">
                  <c:v>193.0544116380041</c:v>
                </c:pt>
                <c:pt idx="30">
                  <c:v>199.09796362970798</c:v>
                </c:pt>
                <c:pt idx="32">
                  <c:v>197.91616392591888</c:v>
                </c:pt>
                <c:pt idx="34">
                  <c:v>202.43221834610466</c:v>
                </c:pt>
                <c:pt idx="36">
                  <c:v>186.34029143536873</c:v>
                </c:pt>
                <c:pt idx="38">
                  <c:v>171.95515014565902</c:v>
                </c:pt>
                <c:pt idx="40">
                  <c:v>158.57437567909889</c:v>
                </c:pt>
                <c:pt idx="42">
                  <c:v>144.37978212268754</c:v>
                </c:pt>
                <c:pt idx="44">
                  <c:v>129.01435585906819</c:v>
                </c:pt>
                <c:pt idx="46">
                  <c:v>110.52887137935799</c:v>
                </c:pt>
                <c:pt idx="47">
                  <c:v>99.522037814250083</c:v>
                </c:pt>
                <c:pt idx="48">
                  <c:v>261.06769361692983</c:v>
                </c:pt>
                <c:pt idx="49">
                  <c:v>366.51999247092476</c:v>
                </c:pt>
              </c:numCache>
            </c:numRef>
          </c:yVal>
          <c:smooth val="0"/>
          <c:extLst>
            <c:ext xmlns:c16="http://schemas.microsoft.com/office/drawing/2014/chart" uri="{C3380CC4-5D6E-409C-BE32-E72D297353CC}">
              <c16:uniqueId val="{00000000-A23D-4213-82F8-612B7EB2727A}"/>
            </c:ext>
          </c:extLst>
        </c:ser>
        <c:dLbls>
          <c:showLegendKey val="0"/>
          <c:showVal val="0"/>
          <c:showCatName val="0"/>
          <c:showSerName val="0"/>
          <c:showPercent val="0"/>
          <c:showBubbleSize val="0"/>
        </c:dLbls>
        <c:axId val="520269288"/>
        <c:axId val="520264368"/>
      </c:scatterChart>
      <c:valAx>
        <c:axId val="520269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 [K]</a:t>
                </a:r>
                <a:endParaRPr lang="ru-RU"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0264368"/>
        <c:crossesAt val="-1200"/>
        <c:crossBetween val="midCat"/>
      </c:valAx>
      <c:valAx>
        <c:axId val="52026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 [mkV/K]</a:t>
                </a:r>
                <a:r>
                  <a:rPr lang="ru-RU" sz="1200"/>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02692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56792893574083"/>
          <c:y val="7.5042637862421838E-2"/>
          <c:w val="0.80028496657344395"/>
          <c:h val="0.74599204093234794"/>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Лист1!$A$58:$A$102</c:f>
              <c:numCache>
                <c:formatCode>General</c:formatCode>
                <c:ptCount val="45"/>
                <c:pt idx="0">
                  <c:v>337.47644091532669</c:v>
                </c:pt>
                <c:pt idx="1">
                  <c:v>323.97415756194431</c:v>
                </c:pt>
                <c:pt idx="2">
                  <c:v>310.60480241038653</c:v>
                </c:pt>
                <c:pt idx="3">
                  <c:v>296.86095333913079</c:v>
                </c:pt>
                <c:pt idx="4">
                  <c:v>283.82238181852512</c:v>
                </c:pt>
                <c:pt idx="5">
                  <c:v>270.97544456634125</c:v>
                </c:pt>
                <c:pt idx="6">
                  <c:v>257.73108274067579</c:v>
                </c:pt>
                <c:pt idx="7">
                  <c:v>244.85175897240063</c:v>
                </c:pt>
                <c:pt idx="8">
                  <c:v>232.05299594444762</c:v>
                </c:pt>
                <c:pt idx="9">
                  <c:v>219.56528784167602</c:v>
                </c:pt>
                <c:pt idx="10">
                  <c:v>206.60401379963204</c:v>
                </c:pt>
                <c:pt idx="11">
                  <c:v>194.02930457434019</c:v>
                </c:pt>
                <c:pt idx="12">
                  <c:v>181.24073340292944</c:v>
                </c:pt>
                <c:pt idx="13">
                  <c:v>168.74774393746696</c:v>
                </c:pt>
                <c:pt idx="14">
                  <c:v>155.9466164396454</c:v>
                </c:pt>
                <c:pt idx="15">
                  <c:v>143.9015818912309</c:v>
                </c:pt>
                <c:pt idx="16">
                  <c:v>130.92770415677202</c:v>
                </c:pt>
                <c:pt idx="17">
                  <c:v>118.72428164729686</c:v>
                </c:pt>
                <c:pt idx="18">
                  <c:v>106.27191196814555</c:v>
                </c:pt>
                <c:pt idx="19">
                  <c:v>94.904955633989388</c:v>
                </c:pt>
                <c:pt idx="20">
                  <c:v>78.420774206892759</c:v>
                </c:pt>
                <c:pt idx="22">
                  <c:v>337.41572292554235</c:v>
                </c:pt>
                <c:pt idx="23">
                  <c:v>323.97415756194431</c:v>
                </c:pt>
                <c:pt idx="24">
                  <c:v>310.45528345818224</c:v>
                </c:pt>
                <c:pt idx="25">
                  <c:v>296.89054176236834</c:v>
                </c:pt>
                <c:pt idx="26">
                  <c:v>283.82238181852512</c:v>
                </c:pt>
                <c:pt idx="27">
                  <c:v>270.71456496671533</c:v>
                </c:pt>
                <c:pt idx="28">
                  <c:v>257.73108274067579</c:v>
                </c:pt>
                <c:pt idx="29">
                  <c:v>244.85175897240063</c:v>
                </c:pt>
                <c:pt idx="30">
                  <c:v>232.05299594444762</c:v>
                </c:pt>
                <c:pt idx="31">
                  <c:v>219.59355903920411</c:v>
                </c:pt>
                <c:pt idx="32">
                  <c:v>206.60401379963204</c:v>
                </c:pt>
                <c:pt idx="33">
                  <c:v>193.97294367570677</c:v>
                </c:pt>
                <c:pt idx="34">
                  <c:v>181.24073340292944</c:v>
                </c:pt>
                <c:pt idx="35">
                  <c:v>168.8320849419926</c:v>
                </c:pt>
                <c:pt idx="36">
                  <c:v>155.9466164396454</c:v>
                </c:pt>
                <c:pt idx="37">
                  <c:v>143.48377029397423</c:v>
                </c:pt>
                <c:pt idx="38">
                  <c:v>130.92770415677202</c:v>
                </c:pt>
                <c:pt idx="39">
                  <c:v>118.6971475689985</c:v>
                </c:pt>
                <c:pt idx="40">
                  <c:v>106.56357126956708</c:v>
                </c:pt>
                <c:pt idx="41">
                  <c:v>94.750651696290888</c:v>
                </c:pt>
                <c:pt idx="42">
                  <c:v>77.697535708896211</c:v>
                </c:pt>
                <c:pt idx="43">
                  <c:v>317.7403922064629</c:v>
                </c:pt>
                <c:pt idx="44">
                  <c:v>330.68451930209829</c:v>
                </c:pt>
              </c:numCache>
            </c:numRef>
          </c:xVal>
          <c:yVal>
            <c:numRef>
              <c:f>Лист1!$B$58:$B$102</c:f>
              <c:numCache>
                <c:formatCode>General</c:formatCode>
                <c:ptCount val="45"/>
                <c:pt idx="2">
                  <c:v>21.089113814363277</c:v>
                </c:pt>
                <c:pt idx="3">
                  <c:v>21.448903800843407</c:v>
                </c:pt>
                <c:pt idx="5">
                  <c:v>22.428288805762147</c:v>
                </c:pt>
                <c:pt idx="7">
                  <c:v>20.266563871924632</c:v>
                </c:pt>
                <c:pt idx="9">
                  <c:v>20.322388744999689</c:v>
                </c:pt>
                <c:pt idx="11">
                  <c:v>19.246741878860799</c:v>
                </c:pt>
                <c:pt idx="13">
                  <c:v>18.851855355273941</c:v>
                </c:pt>
                <c:pt idx="15">
                  <c:v>17.640738552206468</c:v>
                </c:pt>
                <c:pt idx="17">
                  <c:v>16.075759468065002</c:v>
                </c:pt>
                <c:pt idx="19">
                  <c:v>14.343144461184261</c:v>
                </c:pt>
                <c:pt idx="20">
                  <c:v>14.118251209425241</c:v>
                </c:pt>
                <c:pt idx="22">
                  <c:v>150.90447371283312</c:v>
                </c:pt>
                <c:pt idx="23">
                  <c:v>152.05837579768081</c:v>
                </c:pt>
                <c:pt idx="24">
                  <c:v>149.92215002321007</c:v>
                </c:pt>
                <c:pt idx="25">
                  <c:v>148.2656526626557</c:v>
                </c:pt>
                <c:pt idx="27">
                  <c:v>147.03002777261935</c:v>
                </c:pt>
                <c:pt idx="29">
                  <c:v>143.68416884900529</c:v>
                </c:pt>
                <c:pt idx="31">
                  <c:v>133.61389647791836</c:v>
                </c:pt>
                <c:pt idx="33">
                  <c:v>131.75089232534003</c:v>
                </c:pt>
                <c:pt idx="35">
                  <c:v>127.51937436269436</c:v>
                </c:pt>
                <c:pt idx="37">
                  <c:v>126.24552743339351</c:v>
                </c:pt>
                <c:pt idx="39">
                  <c:v>120.49254228898438</c:v>
                </c:pt>
                <c:pt idx="41">
                  <c:v>114.77119407380835</c:v>
                </c:pt>
                <c:pt idx="42">
                  <c:v>109.87592839927652</c:v>
                </c:pt>
                <c:pt idx="43">
                  <c:v>153.68994383638133</c:v>
                </c:pt>
                <c:pt idx="44">
                  <c:v>154.80567226123344</c:v>
                </c:pt>
              </c:numCache>
            </c:numRef>
          </c:yVal>
          <c:smooth val="0"/>
          <c:extLst>
            <c:ext xmlns:c16="http://schemas.microsoft.com/office/drawing/2014/chart" uri="{C3380CC4-5D6E-409C-BE32-E72D297353CC}">
              <c16:uniqueId val="{00000000-2EF9-496D-A920-3F91CAE67A20}"/>
            </c:ext>
          </c:extLst>
        </c:ser>
        <c:dLbls>
          <c:showLegendKey val="0"/>
          <c:showVal val="0"/>
          <c:showCatName val="0"/>
          <c:showSerName val="0"/>
          <c:showPercent val="0"/>
          <c:showBubbleSize val="0"/>
        </c:dLbls>
        <c:axId val="520279128"/>
        <c:axId val="520278472"/>
      </c:scatterChart>
      <c:valAx>
        <c:axId val="520279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 </a:t>
                </a:r>
                <a:r>
                  <a:rPr lang="en-US"/>
                  <a:t>[K]</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0278472"/>
        <c:crosses val="autoZero"/>
        <c:crossBetween val="midCat"/>
      </c:valAx>
      <c:valAx>
        <c:axId val="520278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 [(Ohm</a:t>
                </a:r>
                <a:r>
                  <a:rPr lang="ru-RU"/>
                  <a:t>*</a:t>
                </a:r>
                <a:r>
                  <a:rPr lang="en-US"/>
                  <a:t>m)</a:t>
                </a:r>
                <a:r>
                  <a:rPr lang="en-US" baseline="30000"/>
                  <a:t>-1</a:t>
                </a:r>
                <a:r>
                  <a:rPr lang="en-US" baseline="0"/>
                  <a:t>]</a:t>
                </a:r>
                <a:endParaRPr lang="ru-RU" baseline="300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02791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0.82426</cdr:x>
      <cdr:y>0.13853</cdr:y>
    </cdr:from>
    <cdr:to>
      <cdr:x>0.9519</cdr:x>
      <cdr:y>0.22285</cdr:y>
    </cdr:to>
    <cdr:sp macro="" textlink="">
      <cdr:nvSpPr>
        <cdr:cNvPr id="2" name="Надпись 1"/>
        <cdr:cNvSpPr txBox="1"/>
      </cdr:nvSpPr>
      <cdr:spPr>
        <a:xfrm xmlns:a="http://schemas.openxmlformats.org/drawingml/2006/main">
          <a:off x="3604161" y="273131"/>
          <a:ext cx="558141" cy="1662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a:t>
          </a:r>
          <a:endParaRPr lang="ru-RU" sz="800"/>
        </a:p>
      </cdr:txBody>
    </cdr:sp>
  </cdr:relSizeAnchor>
  <cdr:relSizeAnchor xmlns:cdr="http://schemas.openxmlformats.org/drawingml/2006/chartDrawing">
    <cdr:from>
      <cdr:x>0.72785</cdr:x>
      <cdr:y>0.67156</cdr:y>
    </cdr:from>
    <cdr:to>
      <cdr:x>0.84463</cdr:x>
      <cdr:y>0.74685</cdr:y>
    </cdr:to>
    <cdr:sp macro="" textlink="">
      <cdr:nvSpPr>
        <cdr:cNvPr id="4" name="Надпись 3"/>
        <cdr:cNvSpPr txBox="1"/>
      </cdr:nvSpPr>
      <cdr:spPr>
        <a:xfrm xmlns:a="http://schemas.openxmlformats.org/drawingml/2006/main">
          <a:off x="3182586" y="1324098"/>
          <a:ext cx="510639" cy="1484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2</a:t>
          </a:r>
          <a:endParaRPr lang="ru-RU" sz="800"/>
        </a:p>
      </cdr:txBody>
    </cdr:sp>
  </cdr:relSizeAnchor>
</c:userShapes>
</file>

<file path=word/drawings/drawing2.xml><?xml version="1.0" encoding="utf-8"?>
<c:userShapes xmlns:c="http://schemas.openxmlformats.org/drawingml/2006/chart">
  <cdr:relSizeAnchor xmlns:cdr="http://schemas.openxmlformats.org/drawingml/2006/chartDrawing">
    <cdr:from>
      <cdr:x>0.81114</cdr:x>
      <cdr:y>0.32693</cdr:y>
    </cdr:from>
    <cdr:to>
      <cdr:x>0.89458</cdr:x>
      <cdr:y>0.41995</cdr:y>
    </cdr:to>
    <cdr:sp macro="" textlink="">
      <cdr:nvSpPr>
        <cdr:cNvPr id="2" name="Надпись 1"/>
        <cdr:cNvSpPr txBox="1"/>
      </cdr:nvSpPr>
      <cdr:spPr>
        <a:xfrm xmlns:a="http://schemas.openxmlformats.org/drawingml/2006/main">
          <a:off x="3521033" y="730332"/>
          <a:ext cx="362197" cy="2078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a:t>
          </a:r>
          <a:endParaRPr lang="ru-RU" sz="800"/>
        </a:p>
      </cdr:txBody>
    </cdr:sp>
  </cdr:relSizeAnchor>
  <cdr:relSizeAnchor xmlns:cdr="http://schemas.openxmlformats.org/drawingml/2006/chartDrawing">
    <cdr:from>
      <cdr:x>0.76326</cdr:x>
      <cdr:y>0.67778</cdr:y>
    </cdr:from>
    <cdr:to>
      <cdr:x>0.84123</cdr:x>
      <cdr:y>0.77346</cdr:y>
    </cdr:to>
    <cdr:sp macro="" textlink="">
      <cdr:nvSpPr>
        <cdr:cNvPr id="3" name="Надпись 2"/>
        <cdr:cNvSpPr txBox="1"/>
      </cdr:nvSpPr>
      <cdr:spPr>
        <a:xfrm xmlns:a="http://schemas.openxmlformats.org/drawingml/2006/main">
          <a:off x="3313216" y="1514105"/>
          <a:ext cx="338447" cy="213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2</a:t>
          </a:r>
          <a:endParaRPr lang="ru-RU" sz="800"/>
        </a:p>
      </cdr:txBody>
    </cdr:sp>
  </cdr:relSizeAnchor>
</c:userShapes>
</file>

<file path=word/theme/theme1.xml><?xml version="1.0" encoding="utf-8"?>
<a:theme xmlns:a="http://schemas.openxmlformats.org/drawingml/2006/main">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59D2C-2EA8-4966-AD67-5926CC6B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Особенности акустического поля мощных фазированных решеток для неинвазивной ультразвуковой хирургии</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dc:description/>
  <cp:lastModifiedBy>Professional</cp:lastModifiedBy>
  <cp:revision>3</cp:revision>
  <dcterms:created xsi:type="dcterms:W3CDTF">2026-03-01T17:05:00Z</dcterms:created>
  <dcterms:modified xsi:type="dcterms:W3CDTF">2026-03-01T17:06:00Z</dcterms:modified>
  <dc:language>en-US</dc:language>
</cp:coreProperties>
</file>