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22F956" w14:textId="2E23F231" w:rsidR="00AF19C2" w:rsidRPr="00BB5FC0" w:rsidRDefault="00D976AC" w:rsidP="00C447F7">
      <w:pPr>
        <w:spacing w:after="0" w:line="0" w:lineRule="atLeast"/>
        <w:jc w:val="center"/>
        <w:rPr>
          <w:rFonts w:cs="Times New Roman"/>
          <w:b/>
          <w:szCs w:val="24"/>
          <w:lang w:val="ru-RU"/>
        </w:rPr>
      </w:pPr>
      <w:r w:rsidRPr="00BB5FC0">
        <w:rPr>
          <w:rFonts w:cs="Times New Roman"/>
          <w:b/>
          <w:szCs w:val="24"/>
          <w:lang w:val="ru-RU"/>
        </w:rPr>
        <w:t xml:space="preserve">Идентификация и вероятностная регрессия концентраций атмосферных примесей по терагерцовым спектрам поглощения </w:t>
      </w:r>
      <w:r w:rsidR="00AF19C2" w:rsidRPr="00BB5FC0">
        <w:rPr>
          <w:rFonts w:cs="Times New Roman"/>
          <w:b/>
          <w:szCs w:val="24"/>
          <w:lang w:val="ru-RU"/>
        </w:rPr>
        <w:t>с использованием методов машинного обучения</w:t>
      </w:r>
    </w:p>
    <w:p w14:paraId="6CBAB37F" w14:textId="681B7C2B" w:rsidR="00000000" w:rsidRPr="00BB5FC0" w:rsidRDefault="00D976AC" w:rsidP="00C447F7">
      <w:pPr>
        <w:spacing w:after="0" w:line="0" w:lineRule="atLeast"/>
        <w:jc w:val="center"/>
        <w:rPr>
          <w:rFonts w:cs="Times New Roman"/>
          <w:b/>
          <w:i/>
          <w:szCs w:val="24"/>
          <w:vertAlign w:val="superscript"/>
          <w:lang w:val="ru-RU"/>
        </w:rPr>
      </w:pPr>
      <w:r w:rsidRPr="00BB5FC0">
        <w:rPr>
          <w:rFonts w:cs="Times New Roman"/>
          <w:b/>
          <w:i/>
          <w:szCs w:val="24"/>
          <w:lang w:val="ru-RU"/>
        </w:rPr>
        <w:t>Кожевников Ф.А.</w:t>
      </w:r>
      <w:r w:rsidRPr="00BB5FC0">
        <w:rPr>
          <w:rFonts w:cs="Times New Roman"/>
          <w:b/>
          <w:i/>
          <w:szCs w:val="24"/>
          <w:vertAlign w:val="superscript"/>
          <w:lang w:val="ru-RU"/>
        </w:rPr>
        <w:t>1</w:t>
      </w:r>
      <w:r w:rsidRPr="00BB5FC0">
        <w:rPr>
          <w:rFonts w:cs="Times New Roman"/>
          <w:b/>
          <w:i/>
          <w:szCs w:val="24"/>
          <w:lang w:val="ru-RU"/>
        </w:rPr>
        <w:t>, Синько А.С.</w:t>
      </w:r>
      <w:r w:rsidRPr="00BB5FC0">
        <w:rPr>
          <w:rFonts w:cs="Times New Roman"/>
          <w:b/>
          <w:i/>
          <w:szCs w:val="24"/>
          <w:vertAlign w:val="superscript"/>
          <w:lang w:val="ru-RU"/>
        </w:rPr>
        <w:t>2</w:t>
      </w:r>
      <w:r w:rsidRPr="00BB5FC0">
        <w:rPr>
          <w:rFonts w:cs="Times New Roman"/>
          <w:b/>
          <w:i/>
          <w:szCs w:val="24"/>
          <w:lang w:val="ru-RU"/>
        </w:rPr>
        <w:t xml:space="preserve">, </w:t>
      </w:r>
      <w:r w:rsidR="00FD5CC1" w:rsidRPr="00BB5FC0">
        <w:rPr>
          <w:rFonts w:cs="Times New Roman"/>
          <w:b/>
          <w:i/>
          <w:szCs w:val="24"/>
          <w:lang w:val="ru-RU"/>
        </w:rPr>
        <w:t>Конникова</w:t>
      </w:r>
      <w:r w:rsidR="00FD5CC1" w:rsidRPr="00BB5FC0">
        <w:rPr>
          <w:rFonts w:cs="Times New Roman"/>
          <w:b/>
          <w:i/>
          <w:szCs w:val="24"/>
          <w:lang w:val="ru-RU"/>
        </w:rPr>
        <w:t xml:space="preserve"> </w:t>
      </w:r>
      <w:r w:rsidR="009C3AD7" w:rsidRPr="00BB5FC0">
        <w:rPr>
          <w:rFonts w:cs="Times New Roman"/>
          <w:b/>
          <w:i/>
          <w:szCs w:val="24"/>
          <w:lang w:val="ru-RU"/>
        </w:rPr>
        <w:t>М.Р.</w:t>
      </w:r>
      <w:r w:rsidR="009C3AD7" w:rsidRPr="00BB5FC0">
        <w:rPr>
          <w:rFonts w:cs="Times New Roman"/>
          <w:b/>
          <w:i/>
          <w:szCs w:val="24"/>
          <w:vertAlign w:val="superscript"/>
          <w:lang w:val="ru-RU"/>
        </w:rPr>
        <w:t>2</w:t>
      </w:r>
      <w:r w:rsidRPr="00BB5FC0">
        <w:rPr>
          <w:rFonts w:cs="Times New Roman"/>
          <w:b/>
          <w:i/>
          <w:szCs w:val="24"/>
          <w:lang w:val="ru-RU"/>
        </w:rPr>
        <w:t>,</w:t>
      </w:r>
      <w:r w:rsidR="00FD5CC1" w:rsidRPr="00BB5FC0">
        <w:rPr>
          <w:rFonts w:cs="Times New Roman"/>
          <w:b/>
          <w:i/>
          <w:szCs w:val="24"/>
          <w:lang w:val="ru-RU"/>
        </w:rPr>
        <w:t xml:space="preserve"> </w:t>
      </w:r>
      <w:r w:rsidR="00FD5CC1" w:rsidRPr="00BB5FC0">
        <w:rPr>
          <w:rFonts w:cs="Times New Roman"/>
          <w:b/>
          <w:i/>
          <w:szCs w:val="24"/>
          <w:lang w:val="ru-RU"/>
        </w:rPr>
        <w:t>Ангелуц</w:t>
      </w:r>
      <w:r w:rsidRPr="00BB5FC0">
        <w:rPr>
          <w:rFonts w:cs="Times New Roman"/>
          <w:b/>
          <w:i/>
          <w:szCs w:val="24"/>
          <w:lang w:val="ru-RU"/>
        </w:rPr>
        <w:t xml:space="preserve"> </w:t>
      </w:r>
      <w:r w:rsidR="009C3AD7" w:rsidRPr="00BB5FC0">
        <w:rPr>
          <w:rFonts w:cs="Times New Roman"/>
          <w:b/>
          <w:i/>
          <w:szCs w:val="24"/>
          <w:lang w:val="ru-RU"/>
        </w:rPr>
        <w:t>А.А.</w:t>
      </w:r>
      <w:r w:rsidRPr="00BB5FC0">
        <w:rPr>
          <w:rFonts w:cs="Times New Roman"/>
          <w:b/>
          <w:i/>
          <w:szCs w:val="24"/>
          <w:vertAlign w:val="superscript"/>
          <w:lang w:val="ru-RU"/>
        </w:rPr>
        <w:t>2,3</w:t>
      </w:r>
    </w:p>
    <w:p w14:paraId="5184FB43" w14:textId="77777777" w:rsidR="00000000" w:rsidRPr="009C3AD7" w:rsidRDefault="00D976AC" w:rsidP="00C447F7">
      <w:pPr>
        <w:spacing w:after="0" w:line="0" w:lineRule="atLeast"/>
        <w:jc w:val="center"/>
        <w:rPr>
          <w:rFonts w:cs="Times New Roman"/>
          <w:i/>
          <w:szCs w:val="24"/>
          <w:vertAlign w:val="superscript"/>
          <w:lang w:val="ru-RU"/>
        </w:rPr>
      </w:pPr>
      <w:r w:rsidRPr="009C3AD7">
        <w:rPr>
          <w:rFonts w:cs="Times New Roman"/>
          <w:i/>
          <w:szCs w:val="24"/>
          <w:vertAlign w:val="superscript"/>
          <w:lang w:val="ru-RU"/>
        </w:rPr>
        <w:t>1</w:t>
      </w:r>
      <w:r w:rsidRPr="009C3AD7">
        <w:rPr>
          <w:rFonts w:cs="Times New Roman"/>
          <w:i/>
          <w:szCs w:val="24"/>
          <w:lang w:val="ru-RU"/>
        </w:rPr>
        <w:t xml:space="preserve"> Факультет космических исслед</w:t>
      </w:r>
      <w:r w:rsidRPr="009C3AD7">
        <w:rPr>
          <w:rFonts w:cs="Times New Roman"/>
          <w:i/>
          <w:szCs w:val="24"/>
          <w:lang w:val="ru-RU"/>
        </w:rPr>
        <w:t>ований, МГУ им. М.В. Ломоносова</w:t>
      </w:r>
    </w:p>
    <w:p w14:paraId="75A807F0" w14:textId="77777777" w:rsidR="00000000" w:rsidRPr="009C3AD7" w:rsidRDefault="00D976AC" w:rsidP="00C447F7">
      <w:pPr>
        <w:spacing w:after="0" w:line="0" w:lineRule="atLeast"/>
        <w:jc w:val="center"/>
        <w:rPr>
          <w:rFonts w:cs="Times New Roman"/>
          <w:i/>
          <w:szCs w:val="24"/>
          <w:vertAlign w:val="superscript"/>
          <w:lang w:val="ru-RU"/>
        </w:rPr>
      </w:pPr>
      <w:r w:rsidRPr="009C3AD7">
        <w:rPr>
          <w:rFonts w:cs="Times New Roman"/>
          <w:i/>
          <w:szCs w:val="24"/>
          <w:vertAlign w:val="superscript"/>
          <w:lang w:val="ru-RU"/>
        </w:rPr>
        <w:t>2</w:t>
      </w:r>
      <w:r w:rsidRPr="009C3AD7">
        <w:rPr>
          <w:rFonts w:cs="Times New Roman"/>
          <w:i/>
          <w:szCs w:val="24"/>
          <w:lang w:val="ru-RU"/>
        </w:rPr>
        <w:t xml:space="preserve"> Физический факультет, МГУ им. М.В. Ломоносова</w:t>
      </w:r>
    </w:p>
    <w:p w14:paraId="4A4570C8" w14:textId="0243B67D" w:rsidR="00000000" w:rsidRPr="009C3AD7" w:rsidRDefault="00D976AC" w:rsidP="00C447F7">
      <w:pPr>
        <w:spacing w:after="0" w:line="0" w:lineRule="atLeast"/>
        <w:jc w:val="center"/>
        <w:rPr>
          <w:rFonts w:cs="Times New Roman"/>
          <w:i/>
          <w:iCs/>
          <w:szCs w:val="24"/>
          <w:lang w:val="ru-RU"/>
        </w:rPr>
      </w:pPr>
      <w:r w:rsidRPr="009C3AD7">
        <w:rPr>
          <w:rFonts w:cs="Times New Roman"/>
          <w:i/>
          <w:szCs w:val="24"/>
          <w:vertAlign w:val="superscript"/>
          <w:lang w:val="ru-RU"/>
        </w:rPr>
        <w:t>3</w:t>
      </w:r>
      <w:r w:rsidRPr="009C3AD7">
        <w:rPr>
          <w:rFonts w:cs="Times New Roman"/>
          <w:i/>
          <w:szCs w:val="24"/>
          <w:lang w:val="ru-RU"/>
        </w:rPr>
        <w:t xml:space="preserve"> </w:t>
      </w:r>
      <w:r w:rsidR="009C3AD7" w:rsidRPr="009C3AD7">
        <w:rPr>
          <w:rFonts w:cs="Times New Roman"/>
          <w:i/>
          <w:lang w:val="ru-RU"/>
        </w:rPr>
        <w:t>Институт динамики систем и теории управления</w:t>
      </w:r>
    </w:p>
    <w:p w14:paraId="65048664" w14:textId="77777777" w:rsidR="00000000" w:rsidRPr="009C3AD7" w:rsidRDefault="00D976AC" w:rsidP="00C447F7">
      <w:pPr>
        <w:spacing w:after="0" w:line="0" w:lineRule="atLeast"/>
        <w:jc w:val="center"/>
        <w:rPr>
          <w:rFonts w:cs="Times New Roman"/>
          <w:i/>
          <w:iCs/>
          <w:color w:val="353535"/>
          <w:szCs w:val="23"/>
          <w:lang w:val="ru-RU"/>
        </w:rPr>
      </w:pPr>
      <w:r w:rsidRPr="009C3AD7">
        <w:rPr>
          <w:rFonts w:cs="Times New Roman"/>
          <w:i/>
          <w:iCs/>
          <w:szCs w:val="24"/>
          <w:lang w:val="ru-RU"/>
        </w:rPr>
        <w:t>Студент</w:t>
      </w:r>
    </w:p>
    <w:p w14:paraId="79A48D15" w14:textId="77777777" w:rsidR="00000000" w:rsidRPr="009C3AD7" w:rsidRDefault="00D976AC" w:rsidP="00C447F7">
      <w:pPr>
        <w:shd w:val="clear" w:color="auto" w:fill="FFFFFF"/>
        <w:suppressAutoHyphens w:val="0"/>
        <w:spacing w:after="0" w:line="0" w:lineRule="atLeast"/>
        <w:jc w:val="center"/>
        <w:rPr>
          <w:rFonts w:cs="Times New Roman"/>
          <w:i/>
          <w:iCs/>
          <w:color w:val="353535"/>
          <w:szCs w:val="23"/>
          <w:lang w:val="ru-RU"/>
        </w:rPr>
      </w:pPr>
      <w:r w:rsidRPr="009C3AD7">
        <w:rPr>
          <w:rFonts w:cs="Times New Roman"/>
          <w:i/>
          <w:iCs/>
          <w:color w:val="353535"/>
          <w:szCs w:val="23"/>
          <w:lang w:val="ru-RU"/>
        </w:rPr>
        <w:t>Московский государственный университет имени М.В.Ломоносова,</w:t>
      </w:r>
      <w:r w:rsidRPr="009C3AD7">
        <w:rPr>
          <w:rFonts w:cs="Times New Roman"/>
          <w:i/>
          <w:iCs/>
          <w:color w:val="353535"/>
          <w:szCs w:val="23"/>
        </w:rPr>
        <w:t> </w:t>
      </w:r>
    </w:p>
    <w:p w14:paraId="38C547E7" w14:textId="77777777" w:rsidR="00000000" w:rsidRPr="009C3AD7" w:rsidRDefault="00D976AC" w:rsidP="00C447F7">
      <w:pPr>
        <w:shd w:val="clear" w:color="auto" w:fill="FFFFFF"/>
        <w:suppressAutoHyphens w:val="0"/>
        <w:spacing w:after="0" w:line="0" w:lineRule="atLeast"/>
        <w:jc w:val="center"/>
        <w:rPr>
          <w:rFonts w:cs="Times New Roman"/>
          <w:i/>
          <w:iCs/>
          <w:color w:val="353535"/>
          <w:szCs w:val="23"/>
          <w:shd w:val="clear" w:color="auto" w:fill="FFFFFF"/>
          <w:lang w:val="ru-RU"/>
        </w:rPr>
      </w:pPr>
      <w:r w:rsidRPr="009C3AD7">
        <w:rPr>
          <w:rFonts w:cs="Times New Roman"/>
          <w:i/>
          <w:iCs/>
          <w:color w:val="353535"/>
          <w:szCs w:val="23"/>
          <w:lang w:val="ru-RU"/>
        </w:rPr>
        <w:t>Факультет космических исследований, Москва, Россия</w:t>
      </w:r>
    </w:p>
    <w:p w14:paraId="03644AB4" w14:textId="77777777" w:rsidR="00000000" w:rsidRPr="009C3AD7" w:rsidRDefault="00D976AC" w:rsidP="00C447F7">
      <w:pPr>
        <w:spacing w:after="0" w:line="0" w:lineRule="atLeast"/>
        <w:jc w:val="center"/>
        <w:rPr>
          <w:rFonts w:cs="Times New Roman"/>
          <w:lang w:val="ru-RU"/>
        </w:rPr>
      </w:pPr>
      <w:r w:rsidRPr="009C3AD7">
        <w:rPr>
          <w:rFonts w:cs="Times New Roman"/>
          <w:i/>
          <w:iCs/>
          <w:color w:val="353535"/>
          <w:szCs w:val="23"/>
          <w:shd w:val="clear" w:color="auto" w:fill="FFFFFF"/>
        </w:rPr>
        <w:t>E</w:t>
      </w:r>
      <w:r w:rsidRPr="009C3AD7">
        <w:rPr>
          <w:rFonts w:cs="Times New Roman"/>
          <w:i/>
          <w:iCs/>
          <w:color w:val="353535"/>
          <w:szCs w:val="23"/>
          <w:shd w:val="clear" w:color="auto" w:fill="FFFFFF"/>
          <w:lang w:val="ru-RU"/>
        </w:rPr>
        <w:t>–</w:t>
      </w:r>
      <w:r w:rsidRPr="009C3AD7">
        <w:rPr>
          <w:rFonts w:cs="Times New Roman"/>
          <w:i/>
          <w:iCs/>
          <w:color w:val="353535"/>
          <w:szCs w:val="23"/>
          <w:shd w:val="clear" w:color="auto" w:fill="FFFFFF"/>
        </w:rPr>
        <w:t>mail</w:t>
      </w:r>
      <w:r w:rsidRPr="009C3AD7">
        <w:rPr>
          <w:rFonts w:cs="Times New Roman"/>
          <w:i/>
          <w:iCs/>
          <w:color w:val="353535"/>
          <w:szCs w:val="23"/>
          <w:shd w:val="clear" w:color="auto" w:fill="FFFFFF"/>
          <w:lang w:val="ru-RU"/>
        </w:rPr>
        <w:t xml:space="preserve">: </w:t>
      </w:r>
      <w:r w:rsidRPr="009C3AD7">
        <w:rPr>
          <w:rFonts w:cs="Times New Roman"/>
          <w:i/>
          <w:iCs/>
          <w:color w:val="353535"/>
          <w:szCs w:val="23"/>
          <w:shd w:val="clear" w:color="auto" w:fill="FFFFFF"/>
        </w:rPr>
        <w:t>phil</w:t>
      </w:r>
      <w:r w:rsidRPr="009C3AD7">
        <w:rPr>
          <w:rFonts w:cs="Times New Roman"/>
          <w:i/>
          <w:iCs/>
          <w:color w:val="353535"/>
          <w:szCs w:val="23"/>
          <w:shd w:val="clear" w:color="auto" w:fill="FFFFFF"/>
          <w:lang w:val="ru-RU"/>
        </w:rPr>
        <w:t>04@</w:t>
      </w:r>
      <w:r w:rsidRPr="009C3AD7">
        <w:rPr>
          <w:rFonts w:cs="Times New Roman"/>
          <w:i/>
          <w:iCs/>
          <w:color w:val="353535"/>
          <w:szCs w:val="23"/>
          <w:shd w:val="clear" w:color="auto" w:fill="FFFFFF"/>
        </w:rPr>
        <w:t>yandex</w:t>
      </w:r>
      <w:r w:rsidRPr="009C3AD7">
        <w:rPr>
          <w:rFonts w:cs="Times New Roman"/>
          <w:i/>
          <w:iCs/>
          <w:color w:val="353535"/>
          <w:szCs w:val="23"/>
          <w:shd w:val="clear" w:color="auto" w:fill="FFFFFF"/>
          <w:lang w:val="ru-RU"/>
        </w:rPr>
        <w:t>.</w:t>
      </w:r>
      <w:r w:rsidRPr="009C3AD7">
        <w:rPr>
          <w:rFonts w:cs="Times New Roman"/>
          <w:i/>
          <w:iCs/>
          <w:color w:val="353535"/>
          <w:szCs w:val="23"/>
          <w:shd w:val="clear" w:color="auto" w:fill="FFFFFF"/>
        </w:rPr>
        <w:t>ru</w:t>
      </w:r>
    </w:p>
    <w:p w14:paraId="39929071" w14:textId="34D72C4E" w:rsidR="00000000" w:rsidRDefault="00D976AC" w:rsidP="00C447F7">
      <w:pPr>
        <w:spacing w:after="160" w:line="22" w:lineRule="atLeast"/>
        <w:ind w:right="39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Оптические методы газоанализа активно развиваются для задач контроля атмосферных и промышленных выбросов, включая многокомпонентные сенсорные системы и обзорные исследования методов детекции газов [3, 4]. Терагерцовая импульсная спектроскопия (</w:t>
      </w:r>
      <w:r>
        <w:rPr>
          <w:rFonts w:cs="Times New Roman"/>
        </w:rPr>
        <w:t>THz</w:t>
      </w:r>
      <w:r>
        <w:rPr>
          <w:rFonts w:cs="Times New Roman"/>
          <w:lang w:val="ru-RU"/>
        </w:rPr>
        <w:t>-</w:t>
      </w:r>
      <w:r>
        <w:rPr>
          <w:rFonts w:cs="Times New Roman"/>
        </w:rPr>
        <w:t>TDS</w:t>
      </w:r>
      <w:r>
        <w:rPr>
          <w:rFonts w:cs="Times New Roman"/>
          <w:lang w:val="ru-RU"/>
        </w:rPr>
        <w:t>) рас</w:t>
      </w:r>
      <w:r>
        <w:rPr>
          <w:rFonts w:cs="Times New Roman"/>
          <w:lang w:val="ru-RU"/>
        </w:rPr>
        <w:t>сматривается как перспективный подход за счет наличия выраженных молекулярных «спектральных отпечатков» в субмиллиметровом и терагерцовом диапазонах [2</w:t>
      </w:r>
      <w:r>
        <w:rPr>
          <w:rFonts w:cs="Times New Roman"/>
          <w:lang w:val="ru-RU"/>
        </w:rPr>
        <w:t>]. Практическим ограничением при применении глубокого обучения в терагерцовом газоанализе является раз</w:t>
      </w:r>
      <w:r>
        <w:rPr>
          <w:rFonts w:cs="Times New Roman"/>
          <w:lang w:val="ru-RU"/>
        </w:rPr>
        <w:t>рыв между «идеальными» модельными спектрами и экспериментальными измерениями, содержащими дрейф базовой линии, частотно-зависимый шум, ограничения динамического диапазона и артефакты измерительного тракта [7].</w:t>
      </w:r>
    </w:p>
    <w:p w14:paraId="46BC099B" w14:textId="77777777" w:rsidR="00000000" w:rsidRDefault="00D976AC" w:rsidP="00C447F7">
      <w:pPr>
        <w:spacing w:after="160" w:line="22" w:lineRule="atLeast"/>
        <w:ind w:right="39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 работе разработан программный генератор синт</w:t>
      </w:r>
      <w:r>
        <w:rPr>
          <w:rFonts w:cs="Times New Roman"/>
          <w:lang w:val="ru-RU"/>
        </w:rPr>
        <w:t>етических и аугментированных ТГц-спектров газовых смесей. Генератор использует физически информированную модель формирования спектра (линейная зависимость поглощения от концентрации при фиксированной длине кюветы) и опирается на спектроскопические параметр</w:t>
      </w:r>
      <w:r>
        <w:rPr>
          <w:rFonts w:cs="Times New Roman"/>
          <w:lang w:val="ru-RU"/>
        </w:rPr>
        <w:t xml:space="preserve">ы базы </w:t>
      </w:r>
      <w:r>
        <w:rPr>
          <w:rFonts w:cs="Times New Roman"/>
        </w:rPr>
        <w:t>HITRAN</w:t>
      </w:r>
      <w:r>
        <w:rPr>
          <w:rFonts w:cs="Times New Roman"/>
          <w:lang w:val="ru-RU"/>
        </w:rPr>
        <w:t xml:space="preserve"> [6] и информационно-вычислительную систему «Спектроскопия атмосферных газов» [1]. Для сокращения разрыва «синтетика-эксперимент» реализованы аугментации, моделирующие вариации шага дискретизации по частоте, дрейф базовой линии (</w:t>
      </w:r>
      <w:r>
        <w:rPr>
          <w:rFonts w:cs="Times New Roman"/>
        </w:rPr>
        <w:t>PCA</w:t>
      </w:r>
      <w:r>
        <w:rPr>
          <w:rFonts w:cs="Times New Roman"/>
          <w:lang w:val="ru-RU"/>
        </w:rPr>
        <w:t>-модель), ч</w:t>
      </w:r>
      <w:r>
        <w:rPr>
          <w:rFonts w:cs="Times New Roman"/>
          <w:lang w:val="ru-RU"/>
        </w:rPr>
        <w:t>астотно-зависимый шум и динамическую отсечку по уровню сигнала для конкретной измерительной установки.</w:t>
      </w:r>
    </w:p>
    <w:p w14:paraId="36C94EE2" w14:textId="77777777" w:rsidR="00000000" w:rsidRDefault="00D976AC" w:rsidP="00C447F7">
      <w:pPr>
        <w:spacing w:after="160" w:line="22" w:lineRule="atLeast"/>
        <w:ind w:right="39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На сгенерированных данных обучены две модели: (1) многометочный 1</w:t>
      </w:r>
      <w:r>
        <w:rPr>
          <w:rFonts w:cs="Times New Roman"/>
        </w:rPr>
        <w:t>D</w:t>
      </w:r>
      <w:r>
        <w:rPr>
          <w:rFonts w:cs="Times New Roman"/>
          <w:lang w:val="ru-RU"/>
        </w:rPr>
        <w:t xml:space="preserve">-классификатор </w:t>
      </w:r>
      <w:r>
        <w:rPr>
          <w:rFonts w:cs="Times New Roman"/>
        </w:rPr>
        <w:t>GasResNet</w:t>
      </w:r>
      <w:r>
        <w:rPr>
          <w:rFonts w:cs="Times New Roman"/>
          <w:lang w:val="ru-RU"/>
        </w:rPr>
        <w:t xml:space="preserve">34-1.0 для детекции шести газов; (2) гибридный регрессор </w:t>
      </w:r>
      <w:r>
        <w:rPr>
          <w:rFonts w:cs="Times New Roman"/>
        </w:rPr>
        <w:t>TSAR</w:t>
      </w:r>
      <w:r>
        <w:rPr>
          <w:rFonts w:cs="Times New Roman"/>
          <w:lang w:val="ru-RU"/>
        </w:rPr>
        <w:t xml:space="preserve"> (</w:t>
      </w:r>
      <w:r>
        <w:rPr>
          <w:rFonts w:cs="Times New Roman"/>
        </w:rPr>
        <w:t>CNN</w:t>
      </w:r>
      <w:r>
        <w:rPr>
          <w:rFonts w:cs="Times New Roman"/>
          <w:lang w:val="ru-RU"/>
        </w:rPr>
        <w:t>+</w:t>
      </w:r>
      <w:r>
        <w:rPr>
          <w:rFonts w:cs="Times New Roman"/>
        </w:rPr>
        <w:t>Transformer</w:t>
      </w:r>
      <w:r>
        <w:rPr>
          <w:rFonts w:cs="Times New Roman"/>
          <w:lang w:val="ru-RU"/>
        </w:rPr>
        <w:t>), выдающий вероятностные предсказания концентраций в виде (</w:t>
      </w:r>
      <w:r>
        <w:rPr>
          <w:rFonts w:cs="Times New Roman"/>
        </w:rPr>
        <w:t>μ</w:t>
      </w:r>
      <w:r>
        <w:rPr>
          <w:rFonts w:cs="Times New Roman"/>
          <w:lang w:val="ru-RU"/>
        </w:rPr>
        <w:t xml:space="preserve">, </w:t>
      </w:r>
      <w:r>
        <w:rPr>
          <w:rFonts w:cs="Times New Roman"/>
        </w:rPr>
        <w:t>σ</w:t>
      </w:r>
      <w:r>
        <w:rPr>
          <w:rFonts w:cs="Times New Roman"/>
          <w:lang w:val="ru-RU"/>
        </w:rPr>
        <w:t>). Применение методов глубокого обучения для анализа высокоразмерных данных опирается на общепринятые подходы современной нейросетевой обработки сигналов [8]. Для корректной раб</w:t>
      </w:r>
      <w:r>
        <w:rPr>
          <w:rFonts w:cs="Times New Roman"/>
          <w:lang w:val="ru-RU"/>
        </w:rPr>
        <w:t xml:space="preserve">оты около предела обнаружения </w:t>
      </w:r>
      <w:r>
        <w:rPr>
          <w:rFonts w:cs="Times New Roman"/>
        </w:rPr>
        <w:t>LOD</w:t>
      </w:r>
      <w:r>
        <w:rPr>
          <w:rFonts w:cs="Times New Roman"/>
          <w:lang w:val="ru-RU"/>
        </w:rPr>
        <w:t xml:space="preserve"> регрессия обучалась в постановке цензурированной регрессии, что позволяет различать режимы «выше </w:t>
      </w:r>
      <w:r>
        <w:rPr>
          <w:rFonts w:cs="Times New Roman"/>
        </w:rPr>
        <w:t>LOD</w:t>
      </w:r>
      <w:r>
        <w:rPr>
          <w:rFonts w:cs="Times New Roman"/>
          <w:lang w:val="ru-RU"/>
        </w:rPr>
        <w:t xml:space="preserve">» и «ниже </w:t>
      </w:r>
      <w:r>
        <w:rPr>
          <w:rFonts w:cs="Times New Roman"/>
        </w:rPr>
        <w:t>LOD</w:t>
      </w:r>
      <w:r>
        <w:rPr>
          <w:rFonts w:cs="Times New Roman"/>
          <w:lang w:val="ru-RU"/>
        </w:rPr>
        <w:t>».</w:t>
      </w:r>
    </w:p>
    <w:p w14:paraId="63E40A31" w14:textId="77777777" w:rsidR="00000000" w:rsidRDefault="00D976AC" w:rsidP="00C447F7">
      <w:pPr>
        <w:spacing w:after="160" w:line="22" w:lineRule="atLeast"/>
        <w:ind w:right="39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На тестовой синтетической выборке (200 000 спектров) </w:t>
      </w:r>
      <w:r>
        <w:rPr>
          <w:rFonts w:cs="Times New Roman"/>
        </w:rPr>
        <w:t>TSAR</w:t>
      </w:r>
      <w:r>
        <w:rPr>
          <w:rFonts w:cs="Times New Roman"/>
          <w:lang w:val="ru-RU"/>
        </w:rPr>
        <w:t xml:space="preserve"> демонстрирует высокую точность: </w:t>
      </w:r>
      <w:r>
        <w:rPr>
          <w:rFonts w:cs="Times New Roman"/>
        </w:rPr>
        <w:t>R</w:t>
      </w:r>
      <w:r>
        <w:rPr>
          <w:rFonts w:cs="Times New Roman"/>
          <w:lang w:val="ru-RU"/>
        </w:rPr>
        <w:t>² ≈ 0,982–0,987</w:t>
      </w:r>
      <w:r>
        <w:rPr>
          <w:rFonts w:cs="Times New Roman"/>
          <w:lang w:val="ru-RU"/>
        </w:rPr>
        <w:t xml:space="preserve"> и </w:t>
      </w:r>
      <w:r>
        <w:rPr>
          <w:rFonts w:cs="Times New Roman"/>
        </w:rPr>
        <w:t>MAE</w:t>
      </w:r>
      <w:r>
        <w:rPr>
          <w:rFonts w:cs="Times New Roman"/>
          <w:lang w:val="ru-RU"/>
        </w:rPr>
        <w:t xml:space="preserve"> порядка 5–6×10⁻³ (в </w:t>
      </w:r>
      <w:r>
        <w:rPr>
          <w:rFonts w:cs="Times New Roman"/>
        </w:rPr>
        <w:t>log</w:t>
      </w:r>
      <w:r>
        <w:rPr>
          <w:rFonts w:cs="Times New Roman"/>
          <w:vertAlign w:val="subscript"/>
          <w:lang w:val="ru-RU"/>
        </w:rPr>
        <w:t>10</w:t>
      </w:r>
      <w:r>
        <w:rPr>
          <w:rFonts w:cs="Times New Roman"/>
          <w:lang w:val="ru-RU"/>
        </w:rPr>
        <w:t xml:space="preserve">-пространстве, для области выше </w:t>
      </w:r>
      <w:r>
        <w:rPr>
          <w:rFonts w:cs="Times New Roman"/>
        </w:rPr>
        <w:t>LOD</w:t>
      </w:r>
      <w:r>
        <w:rPr>
          <w:rFonts w:cs="Times New Roman"/>
          <w:lang w:val="ru-RU"/>
        </w:rPr>
        <w:t xml:space="preserve">). Ансамблирование трех независимых экземпляров </w:t>
      </w:r>
      <w:r>
        <w:rPr>
          <w:rFonts w:cs="Times New Roman"/>
        </w:rPr>
        <w:t>TSAR</w:t>
      </w:r>
      <w:r>
        <w:rPr>
          <w:rFonts w:cs="Times New Roman"/>
          <w:lang w:val="ru-RU"/>
        </w:rPr>
        <w:t xml:space="preserve"> улучшает метрики (</w:t>
      </w:r>
      <w:r>
        <w:rPr>
          <w:rFonts w:cs="Times New Roman"/>
        </w:rPr>
        <w:t>R</w:t>
      </w:r>
      <w:r>
        <w:rPr>
          <w:rFonts w:cs="Times New Roman"/>
          <w:lang w:val="ru-RU"/>
        </w:rPr>
        <w:t xml:space="preserve">² до 0,989; </w:t>
      </w:r>
      <w:r>
        <w:rPr>
          <w:rFonts w:cs="Times New Roman"/>
        </w:rPr>
        <w:t>MAE</w:t>
      </w:r>
      <w:r>
        <w:rPr>
          <w:rFonts w:cs="Times New Roman"/>
          <w:lang w:val="ru-RU"/>
        </w:rPr>
        <w:t xml:space="preserve"> до 4,38×10⁻³) и повышает среднюю </w:t>
      </w:r>
      <w:r>
        <w:rPr>
          <w:rFonts w:cs="Times New Roman"/>
        </w:rPr>
        <w:t>F</w:t>
      </w:r>
      <w:r>
        <w:rPr>
          <w:rFonts w:cs="Times New Roman"/>
          <w:lang w:val="ru-RU"/>
        </w:rPr>
        <w:t xml:space="preserve">1-меру в задаче детекции «выше/ниже </w:t>
      </w:r>
      <w:r>
        <w:rPr>
          <w:rFonts w:cs="Times New Roman"/>
        </w:rPr>
        <w:t>LOD</w:t>
      </w:r>
      <w:r>
        <w:rPr>
          <w:rFonts w:cs="Times New Roman"/>
          <w:lang w:val="ru-RU"/>
        </w:rPr>
        <w:t>». Дополнительно предложен д</w:t>
      </w:r>
      <w:r>
        <w:rPr>
          <w:rFonts w:cs="Times New Roman"/>
          <w:lang w:val="ru-RU"/>
        </w:rPr>
        <w:t xml:space="preserve">вухфакторный критерий обнаружения по порогам </w:t>
      </w:r>
      <w:r>
        <w:rPr>
          <w:rFonts w:cs="Times New Roman"/>
        </w:rPr>
        <w:t>Tμ</w:t>
      </w:r>
      <w:r>
        <w:rPr>
          <w:rFonts w:cs="Times New Roman"/>
          <w:lang w:val="ru-RU"/>
        </w:rPr>
        <w:t xml:space="preserve"> и </w:t>
      </w:r>
      <w:r>
        <w:rPr>
          <w:rFonts w:cs="Times New Roman"/>
        </w:rPr>
        <w:t>Tσ</w:t>
      </w:r>
      <w:r>
        <w:rPr>
          <w:rFonts w:cs="Times New Roman"/>
          <w:lang w:val="ru-RU"/>
        </w:rPr>
        <w:t>, позволяющий снижать число ложных тревог за счет отбрасывания предсказаний с высокой неопределенностью.</w:t>
      </w:r>
    </w:p>
    <w:p w14:paraId="6CA76CB0" w14:textId="77777777" w:rsidR="009C3AD7" w:rsidRDefault="00D976AC" w:rsidP="00C447F7">
      <w:pPr>
        <w:spacing w:after="160" w:line="22" w:lineRule="atLeast"/>
        <w:ind w:right="39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Работоспособность подхода проверена на экспериментальных ТГц-спектрах аммиака (</w:t>
      </w:r>
      <w:r>
        <w:rPr>
          <w:rFonts w:cs="Times New Roman"/>
        </w:rPr>
        <w:t>NH</w:t>
      </w:r>
      <w:r>
        <w:rPr>
          <w:rFonts w:cs="Times New Roman"/>
          <w:vertAlign w:val="subscript"/>
          <w:lang w:val="ru-RU"/>
        </w:rPr>
        <w:t>3</w:t>
      </w:r>
      <w:r>
        <w:rPr>
          <w:rFonts w:cs="Times New Roman"/>
          <w:lang w:val="ru-RU"/>
        </w:rPr>
        <w:t>) и формальдегида</w:t>
      </w:r>
      <w:r>
        <w:rPr>
          <w:rFonts w:cs="Times New Roman"/>
          <w:lang w:val="ru-RU"/>
        </w:rPr>
        <w:t xml:space="preserve"> (</w:t>
      </w:r>
      <w:r>
        <w:rPr>
          <w:rFonts w:cs="Times New Roman"/>
        </w:rPr>
        <w:t>H</w:t>
      </w:r>
      <w:r>
        <w:rPr>
          <w:rFonts w:cs="Times New Roman"/>
          <w:vertAlign w:val="subscript"/>
          <w:lang w:val="ru-RU"/>
        </w:rPr>
        <w:t>2</w:t>
      </w:r>
      <w:r>
        <w:rPr>
          <w:rFonts w:cs="Times New Roman"/>
        </w:rPr>
        <w:t>CO</w:t>
      </w:r>
      <w:r>
        <w:rPr>
          <w:rFonts w:cs="Times New Roman"/>
          <w:lang w:val="ru-RU"/>
        </w:rPr>
        <w:t xml:space="preserve">), измеренных на импульсном спектрометре </w:t>
      </w:r>
      <w:r>
        <w:rPr>
          <w:rFonts w:cs="Times New Roman"/>
        </w:rPr>
        <w:t>Terasmart</w:t>
      </w:r>
      <w:r>
        <w:rPr>
          <w:rFonts w:cs="Times New Roman"/>
          <w:lang w:val="ru-RU"/>
        </w:rPr>
        <w:t>. Наличие выраженных вращательных линий формальдегида в терагерцовом диапазоне подтверждается независимыми спектроскопическими данными [5]. Классификатор обеспечивает устойчивую детекцию целевого газа</w:t>
      </w:r>
      <w:r>
        <w:rPr>
          <w:rFonts w:cs="Times New Roman"/>
          <w:lang w:val="ru-RU"/>
        </w:rPr>
        <w:t xml:space="preserve"> без предварительной </w:t>
      </w:r>
      <w:r>
        <w:rPr>
          <w:rFonts w:cs="Times New Roman"/>
          <w:lang w:val="ru-RU"/>
        </w:rPr>
        <w:lastRenderedPageBreak/>
        <w:t xml:space="preserve">предобработки спектра, а регрессор </w:t>
      </w:r>
      <w:r>
        <w:rPr>
          <w:rFonts w:cs="Times New Roman"/>
        </w:rPr>
        <w:t>TSAR</w:t>
      </w:r>
      <w:r>
        <w:rPr>
          <w:rFonts w:cs="Times New Roman"/>
          <w:lang w:val="ru-RU"/>
        </w:rPr>
        <w:t xml:space="preserve"> воспроизводит ожидаемую динамику концентрации и сохраняет устойчивость при высокой влажности воздуха (~80%).</w:t>
      </w:r>
    </w:p>
    <w:p w14:paraId="343CBD90" w14:textId="12B609EC" w:rsidR="00000000" w:rsidRPr="009C3AD7" w:rsidRDefault="00D976AC" w:rsidP="00C447F7">
      <w:pPr>
        <w:spacing w:after="160" w:line="22" w:lineRule="atLeast"/>
        <w:ind w:right="39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Разработанный комплекс «аугментированная синтетика → вероятностная регрессия → детекто</w:t>
      </w:r>
      <w:r>
        <w:rPr>
          <w:rFonts w:cs="Times New Roman"/>
          <w:lang w:val="ru-RU"/>
        </w:rPr>
        <w:t xml:space="preserve">р </w:t>
      </w:r>
      <w:r>
        <w:rPr>
          <w:rFonts w:cs="Times New Roman"/>
        </w:rPr>
        <w:t>μ</w:t>
      </w:r>
      <w:r>
        <w:rPr>
          <w:rFonts w:cs="Times New Roman"/>
          <w:lang w:val="ru-RU"/>
        </w:rPr>
        <w:t>+</w:t>
      </w:r>
      <w:r>
        <w:rPr>
          <w:rFonts w:cs="Times New Roman"/>
        </w:rPr>
        <w:t>σ</w:t>
      </w:r>
      <w:r>
        <w:rPr>
          <w:rFonts w:cs="Times New Roman"/>
          <w:lang w:val="ru-RU"/>
        </w:rPr>
        <w:t>» может использоваться как универсальный аналитический блок для ТГц-газоанализа, расширения номенклатуры контролируемых газов и перехода к полевым условиям мониторинга.</w:t>
      </w:r>
    </w:p>
    <w:p w14:paraId="19411F2C" w14:textId="77777777" w:rsidR="00000000" w:rsidRDefault="00D976AC" w:rsidP="00C447F7">
      <w:pPr>
        <w:spacing w:after="160" w:line="22" w:lineRule="atLeast"/>
        <w:ind w:right="397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Литература</w:t>
      </w:r>
    </w:p>
    <w:p w14:paraId="72559700" w14:textId="77777777" w:rsidR="00000000" w:rsidRDefault="00D976AC" w:rsidP="009C3AD7">
      <w:pPr>
        <w:spacing w:after="160" w:line="240" w:lineRule="auto"/>
        <w:ind w:left="284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 Михайленко С.Н., Бабиков Ю.Л., Головко В.Ф. Информационно-вычислител</w:t>
      </w:r>
      <w:r>
        <w:rPr>
          <w:rFonts w:cs="Times New Roman"/>
          <w:lang w:val="ru-RU"/>
        </w:rPr>
        <w:t>ьная система «Спектроскопия атмосферных газов». Структура и основные функции // Оптика атмосферы и океана. 2005. Т. 18. № 9. С. 765–776.</w:t>
      </w:r>
    </w:p>
    <w:p w14:paraId="588EC7CB" w14:textId="77777777" w:rsidR="00000000" w:rsidRDefault="00D976AC" w:rsidP="009C3AD7">
      <w:pPr>
        <w:spacing w:after="160" w:line="240" w:lineRule="auto"/>
        <w:ind w:left="284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 Третьяков М.Ю. Высокоточная резонаторная спектроскопия атмосферных газов в миллиметровом и субмиллиметровом диапазон</w:t>
      </w:r>
      <w:r>
        <w:rPr>
          <w:rFonts w:cs="Times New Roman"/>
          <w:lang w:val="ru-RU"/>
        </w:rPr>
        <w:t>ах длин волн. Нижний Новгород: ИПФ РАН, 2016. 320 с.</w:t>
      </w:r>
    </w:p>
    <w:p w14:paraId="7893AD0E" w14:textId="77777777" w:rsidR="00000000" w:rsidRDefault="00D976AC" w:rsidP="009C3AD7">
      <w:pPr>
        <w:spacing w:after="160" w:line="240" w:lineRule="auto"/>
        <w:ind w:left="284"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3. </w:t>
      </w:r>
      <w:r>
        <w:rPr>
          <w:rFonts w:cs="Times New Roman"/>
        </w:rPr>
        <w:t>Bassous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lang w:val="ru-RU"/>
        </w:rPr>
        <w:t>.</w:t>
      </w:r>
      <w:r>
        <w:rPr>
          <w:rFonts w:cs="Times New Roman"/>
        </w:rPr>
        <w:t>J</w:t>
      </w:r>
      <w:r>
        <w:rPr>
          <w:rFonts w:cs="Times New Roman"/>
          <w:lang w:val="ru-RU"/>
        </w:rPr>
        <w:t xml:space="preserve">., </w:t>
      </w:r>
      <w:r>
        <w:rPr>
          <w:rFonts w:cs="Times New Roman"/>
        </w:rPr>
        <w:t>et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al</w:t>
      </w:r>
      <w:r>
        <w:rPr>
          <w:rFonts w:cs="Times New Roman"/>
          <w:lang w:val="ru-RU"/>
        </w:rPr>
        <w:t xml:space="preserve">. </w:t>
      </w:r>
      <w:r>
        <w:rPr>
          <w:rFonts w:cs="Times New Roman"/>
        </w:rPr>
        <w:t>Significance of various sensing mechanisms for detecting local and atmospheric greenhouse gases: A review // Adv. Sensor Res. 2024. V. 3. P. 2300094.</w:t>
      </w:r>
    </w:p>
    <w:p w14:paraId="5462EB05" w14:textId="77777777" w:rsidR="00000000" w:rsidRDefault="00D976AC" w:rsidP="009C3AD7">
      <w:pPr>
        <w:spacing w:after="160" w:line="240" w:lineRule="auto"/>
        <w:ind w:left="284"/>
        <w:jc w:val="both"/>
        <w:rPr>
          <w:rFonts w:cs="Times New Roman"/>
        </w:rPr>
      </w:pPr>
      <w:r>
        <w:rPr>
          <w:rFonts w:cs="Times New Roman"/>
        </w:rPr>
        <w:t>4. Dong M., et al. Developmen</w:t>
      </w:r>
      <w:r>
        <w:rPr>
          <w:rFonts w:cs="Times New Roman"/>
        </w:rPr>
        <w:t>t and measurements of a mid-infrared multi-gas sensor system for CO CO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and CH</w:t>
      </w:r>
      <w:r>
        <w:rPr>
          <w:rFonts w:cs="Times New Roman"/>
          <w:vertAlign w:val="subscript"/>
        </w:rPr>
        <w:t>4</w:t>
      </w:r>
      <w:r>
        <w:rPr>
          <w:rFonts w:cs="Times New Roman"/>
        </w:rPr>
        <w:t xml:space="preserve"> detection // Sensors. 2017. V. 17. P. 2221.</w:t>
      </w:r>
    </w:p>
    <w:p w14:paraId="71DEFF3F" w14:textId="77777777" w:rsidR="00000000" w:rsidRDefault="00D976AC" w:rsidP="009C3AD7">
      <w:pPr>
        <w:spacing w:after="160" w:line="240" w:lineRule="auto"/>
        <w:ind w:left="284"/>
        <w:jc w:val="both"/>
        <w:rPr>
          <w:rFonts w:cs="Times New Roman"/>
        </w:rPr>
      </w:pPr>
      <w:r>
        <w:rPr>
          <w:rFonts w:cs="Times New Roman"/>
        </w:rPr>
        <w:t>5. Eliet S., Cuisset A., Guinet M., Hindle F., Mouret G., Bocquet R., Demaison J. Rotational spectrum of formaldehyde reinvestigated</w:t>
      </w:r>
      <w:r>
        <w:rPr>
          <w:rFonts w:cs="Times New Roman"/>
        </w:rPr>
        <w:t xml:space="preserve"> using a photomixing THz synthesizer // Journal of Molecular Spectroscopy. 2012. V. 279. P. 12–15.</w:t>
      </w:r>
    </w:p>
    <w:p w14:paraId="12F30B53" w14:textId="77777777" w:rsidR="00000000" w:rsidRDefault="00D976AC" w:rsidP="009C3AD7">
      <w:pPr>
        <w:spacing w:after="160" w:line="240" w:lineRule="auto"/>
        <w:ind w:left="284"/>
        <w:jc w:val="both"/>
        <w:rPr>
          <w:rFonts w:cs="Times New Roman"/>
        </w:rPr>
      </w:pPr>
      <w:r>
        <w:rPr>
          <w:rFonts w:cs="Times New Roman"/>
        </w:rPr>
        <w:t>6. Gordon I.E., Rothman L.S., et al. The HITRAN2020 molecular spectroscopic database // J. Quant. Spectrosc. Radiat. Transfer. 2022. V. 277. P. 107949.</w:t>
      </w:r>
    </w:p>
    <w:p w14:paraId="11063750" w14:textId="77777777" w:rsidR="00000000" w:rsidRDefault="00D976AC" w:rsidP="009C3AD7">
      <w:pPr>
        <w:spacing w:after="160" w:line="240" w:lineRule="auto"/>
        <w:ind w:left="284"/>
        <w:jc w:val="both"/>
        <w:rPr>
          <w:rFonts w:cs="Times New Roman"/>
        </w:rPr>
      </w:pPr>
      <w:r>
        <w:rPr>
          <w:rFonts w:cs="Times New Roman"/>
        </w:rPr>
        <w:t>7. Ko</w:t>
      </w:r>
      <w:r>
        <w:rPr>
          <w:rFonts w:cs="Times New Roman"/>
        </w:rPr>
        <w:t>zhevnikov F.A., Konnikova M.R., Sin’ko A.S., Angeluc A.A. Application of machine learning methods to analyze the presence of harmful impurities in the atmosphere based on spectral data // Papers of the 17th International Conference AMPL-2025. 2025. P. 94–9</w:t>
      </w:r>
      <w:r>
        <w:rPr>
          <w:rFonts w:cs="Times New Roman"/>
        </w:rPr>
        <w:t>7. DOI: 10.56820/conferencearticle_68dcf40c482d14.74598261.</w:t>
      </w:r>
    </w:p>
    <w:p w14:paraId="3684A878" w14:textId="77777777" w:rsidR="00000000" w:rsidRDefault="00D976AC" w:rsidP="009C3AD7">
      <w:pPr>
        <w:spacing w:after="160" w:line="240" w:lineRule="auto"/>
        <w:ind w:left="284"/>
        <w:jc w:val="both"/>
        <w:rPr>
          <w:rFonts w:cs="Times New Roman"/>
        </w:rPr>
      </w:pPr>
      <w:r>
        <w:rPr>
          <w:rFonts w:cs="Times New Roman"/>
        </w:rPr>
        <w:t>8. LeCun Y., Bengio Y., Hinton G. Deep learning // Nature. 2015. V. 521(7553). P. 436–444.</w:t>
      </w:r>
    </w:p>
    <w:p w14:paraId="1A3FC41C" w14:textId="2FACF9C0" w:rsidR="00D976AC" w:rsidRDefault="00D976AC">
      <w:pPr>
        <w:spacing w:after="0" w:line="240" w:lineRule="auto"/>
        <w:ind w:left="283"/>
        <w:jc w:val="both"/>
      </w:pPr>
      <w:r>
        <w:rPr>
          <w:rFonts w:cs="Times New Roman"/>
        </w:rPr>
        <w:t>Physics-Uspekh</w:t>
      </w:r>
      <w:r>
        <w:rPr>
          <w:rFonts w:cs="Times New Roman"/>
        </w:rPr>
        <w:t>i. 2020. V. 63. N 7. P. 708.</w:t>
      </w:r>
    </w:p>
    <w:sectPr w:rsidR="00D976AC" w:rsidSect="00AF19C2">
      <w:pgSz w:w="11906" w:h="16838" w:code="9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nt955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D7"/>
    <w:rsid w:val="001623B3"/>
    <w:rsid w:val="006A762A"/>
    <w:rsid w:val="00871FE6"/>
    <w:rsid w:val="009C3AD7"/>
    <w:rsid w:val="00AF19C2"/>
    <w:rsid w:val="00BB5FC0"/>
    <w:rsid w:val="00C447F7"/>
    <w:rsid w:val="00D976AC"/>
    <w:rsid w:val="00FD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4D8CFB"/>
  <w15:chartTrackingRefBased/>
  <w15:docId w15:val="{3C378C61-C5F1-406A-9488-29785839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cs="font955"/>
      <w:sz w:val="24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rPr>
      <w:rFonts w:ascii="Calibri" w:eastAsia="MS Gothic" w:hAnsi="Calibri" w:cs="font955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libri" w:eastAsia="MS Gothic" w:hAnsi="Calibri" w:cs="font955"/>
      <w:b/>
      <w:bCs/>
      <w:color w:val="4F81BD"/>
      <w:sz w:val="26"/>
      <w:szCs w:val="26"/>
    </w:rPr>
  </w:style>
  <w:style w:type="character" w:customStyle="1" w:styleId="Heading3Char">
    <w:name w:val="Heading 3 Char"/>
    <w:rPr>
      <w:rFonts w:ascii="Calibri" w:eastAsia="MS Gothic" w:hAnsi="Calibri" w:cs="font955"/>
      <w:b/>
      <w:bCs/>
      <w:color w:val="4F81BD"/>
    </w:rPr>
  </w:style>
  <w:style w:type="character" w:customStyle="1" w:styleId="TitleChar">
    <w:name w:val="Title Char"/>
    <w:rPr>
      <w:rFonts w:ascii="Calibri" w:eastAsia="MS Gothic" w:hAnsi="Calibri" w:cs="font955"/>
      <w:color w:val="17365D"/>
      <w:spacing w:val="5"/>
      <w:kern w:val="2"/>
      <w:sz w:val="52"/>
      <w:szCs w:val="52"/>
    </w:rPr>
  </w:style>
  <w:style w:type="character" w:customStyle="1" w:styleId="SubtitleChar">
    <w:name w:val="Subtitle Char"/>
    <w:rPr>
      <w:rFonts w:ascii="Calibri" w:eastAsia="MS Gothic" w:hAnsi="Calibri" w:cs="font955"/>
      <w:i/>
      <w:iCs/>
      <w:color w:val="4F81BD"/>
      <w:spacing w:val="15"/>
      <w:sz w:val="24"/>
      <w:szCs w:val="24"/>
    </w:rPr>
  </w:style>
  <w:style w:type="character" w:customStyle="1" w:styleId="BodyTextChar">
    <w:name w:val="Body Text Char"/>
    <w:basedOn w:val="DefaultParagraphFont"/>
  </w:style>
  <w:style w:type="character" w:customStyle="1" w:styleId="BodyText2Char">
    <w:name w:val="Body Text 2 Char"/>
    <w:basedOn w:val="DefaultParagraphFont"/>
  </w:style>
  <w:style w:type="character" w:customStyle="1" w:styleId="BodyText3Char">
    <w:name w:val="Body Text 3 Char"/>
    <w:rPr>
      <w:sz w:val="16"/>
      <w:szCs w:val="16"/>
    </w:rPr>
  </w:style>
  <w:style w:type="character" w:customStyle="1" w:styleId="MacroTextChar">
    <w:name w:val="Macro Text Char"/>
    <w:rPr>
      <w:rFonts w:ascii="Courier" w:hAnsi="Courier" w:cs="Courier"/>
      <w:sz w:val="20"/>
      <w:szCs w:val="20"/>
    </w:rPr>
  </w:style>
  <w:style w:type="character" w:customStyle="1" w:styleId="QuoteChar">
    <w:name w:val="Quote Char"/>
    <w:rPr>
      <w:i/>
      <w:iCs/>
      <w:color w:val="000000"/>
    </w:rPr>
  </w:style>
  <w:style w:type="character" w:customStyle="1" w:styleId="Heading4Char">
    <w:name w:val="Heading 4 Char"/>
    <w:rPr>
      <w:rFonts w:ascii="Calibri" w:eastAsia="MS Gothic" w:hAnsi="Calibri" w:cs="font955"/>
      <w:b/>
      <w:bCs/>
      <w:i/>
      <w:iCs/>
      <w:color w:val="4F81BD"/>
    </w:rPr>
  </w:style>
  <w:style w:type="character" w:customStyle="1" w:styleId="Heading5Char">
    <w:name w:val="Heading 5 Char"/>
    <w:rPr>
      <w:rFonts w:ascii="Calibri" w:eastAsia="MS Gothic" w:hAnsi="Calibri" w:cs="font955"/>
      <w:color w:val="243F60"/>
    </w:rPr>
  </w:style>
  <w:style w:type="character" w:customStyle="1" w:styleId="Heading6Char">
    <w:name w:val="Heading 6 Char"/>
    <w:rPr>
      <w:rFonts w:ascii="Calibri" w:eastAsia="MS Gothic" w:hAnsi="Calibri" w:cs="font955"/>
      <w:i/>
      <w:iCs/>
      <w:color w:val="243F60"/>
    </w:rPr>
  </w:style>
  <w:style w:type="character" w:customStyle="1" w:styleId="Heading7Char">
    <w:name w:val="Heading 7 Char"/>
    <w:rPr>
      <w:rFonts w:ascii="Calibri" w:eastAsia="MS Gothic" w:hAnsi="Calibri" w:cs="font955"/>
      <w:i/>
      <w:iCs/>
      <w:color w:val="404040"/>
    </w:rPr>
  </w:style>
  <w:style w:type="character" w:customStyle="1" w:styleId="Heading8Char">
    <w:name w:val="Heading 8 Char"/>
    <w:rPr>
      <w:rFonts w:ascii="Calibri" w:eastAsia="MS Gothic" w:hAnsi="Calibri" w:cs="font955"/>
      <w:color w:val="4F81BD"/>
      <w:sz w:val="20"/>
      <w:szCs w:val="20"/>
    </w:rPr>
  </w:style>
  <w:style w:type="character" w:customStyle="1" w:styleId="Heading9Char">
    <w:name w:val="Heading 9 Char"/>
    <w:rPr>
      <w:rFonts w:ascii="Calibri" w:eastAsia="MS Gothic" w:hAnsi="Calibri" w:cs="font955"/>
      <w:i/>
      <w:iCs/>
      <w:color w:val="404040"/>
      <w:sz w:val="20"/>
      <w:szCs w:val="20"/>
    </w:rPr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IntenseQuoteChar">
    <w:name w:val="Intense Quote Char"/>
    <w:rPr>
      <w:b/>
      <w:bCs/>
      <w:i/>
      <w:iCs/>
      <w:color w:val="4F81BD"/>
    </w:rPr>
  </w:style>
  <w:style w:type="character" w:customStyle="1" w:styleId="SubtleEmphasis">
    <w:name w:val="Subtle Emphasis"/>
    <w:rPr>
      <w:i/>
      <w:iCs/>
      <w:color w:val="808080"/>
    </w:rPr>
  </w:style>
  <w:style w:type="character" w:customStyle="1" w:styleId="IntenseEmphasis">
    <w:name w:val="Intense Emphasis"/>
    <w:rPr>
      <w:b/>
      <w:bCs/>
      <w:i/>
      <w:iCs/>
      <w:color w:val="4F81BD"/>
    </w:rPr>
  </w:style>
  <w:style w:type="character" w:customStyle="1" w:styleId="SubtleReference">
    <w:name w:val="Subtle Reference"/>
    <w:rPr>
      <w:smallCaps/>
      <w:color w:val="C0504D"/>
      <w:u w:val="single"/>
    </w:rPr>
  </w:style>
  <w:style w:type="character" w:customStyle="1" w:styleId="IntenseReference">
    <w:name w:val="Intense Reference"/>
    <w:rPr>
      <w:b/>
      <w:bCs/>
      <w:smallCaps/>
      <w:color w:val="C0504D"/>
      <w:spacing w:val="5"/>
      <w:u w:val="single"/>
    </w:rPr>
  </w:style>
  <w:style w:type="character" w:customStyle="1" w:styleId="BookTitle">
    <w:name w:val="Book Title"/>
    <w:rPr>
      <w:b/>
      <w:bCs/>
      <w:smallCaps/>
      <w:spacing w:val="5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Liberation Serif" w:hAnsi="Liberation Serif" w:cs="Symbol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Liberation Serif" w:hAnsi="Liberation Serif" w:cs="Symbol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Liberation Serif" w:hAnsi="Liberation Serif" w:cs="Symbol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"/>
    <w:pPr>
      <w:ind w:left="360" w:hanging="360"/>
      <w:contextualSpacing/>
    </w:p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11">
    <w:name w:val="Название объекта1"/>
    <w:basedOn w:val="a"/>
    <w:next w:val="a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HeaderandFooter">
    <w:name w:val="Header and Footer"/>
    <w:basedOn w:val="a"/>
  </w:style>
  <w:style w:type="paragraph" w:styleId="a8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NoSpacing">
    <w:name w:val="No Spacing"/>
    <w:pPr>
      <w:suppressAutoHyphens/>
    </w:pPr>
    <w:rPr>
      <w:rFonts w:ascii="Cambria" w:eastAsia="MS Mincho" w:hAnsi="Cambria" w:cs="font955"/>
      <w:sz w:val="22"/>
      <w:szCs w:val="22"/>
      <w:lang w:eastAsia="zh-CN"/>
    </w:rPr>
  </w:style>
  <w:style w:type="paragraph" w:customStyle="1" w:styleId="12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"/>
      <w:sz w:val="52"/>
      <w:szCs w:val="52"/>
    </w:rPr>
  </w:style>
  <w:style w:type="paragraph" w:styleId="aa">
    <w:name w:val="Subtitle"/>
    <w:basedOn w:val="a"/>
    <w:next w:val="a"/>
    <w:qFormat/>
    <w:rPr>
      <w:rFonts w:ascii="Calibri" w:eastAsia="MS Gothic" w:hAnsi="Calibri"/>
      <w:i/>
      <w:iCs/>
      <w:color w:val="4F81BD"/>
      <w:spacing w:val="15"/>
      <w:szCs w:val="24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BodyText2">
    <w:name w:val="Body Text 2"/>
    <w:basedOn w:val="a"/>
    <w:pPr>
      <w:spacing w:after="120" w:line="480" w:lineRule="auto"/>
    </w:pPr>
  </w:style>
  <w:style w:type="paragraph" w:customStyle="1" w:styleId="BodyText3">
    <w:name w:val="Body Text 3"/>
    <w:basedOn w:val="a"/>
    <w:pPr>
      <w:spacing w:after="120"/>
    </w:pPr>
    <w:rPr>
      <w:sz w:val="16"/>
      <w:szCs w:val="16"/>
    </w:rPr>
  </w:style>
  <w:style w:type="paragraph" w:styleId="20">
    <w:name w:val="List Bullet 2"/>
    <w:basedOn w:val="a"/>
    <w:pPr>
      <w:ind w:left="720" w:hanging="360"/>
      <w:contextualSpacing/>
    </w:pPr>
  </w:style>
  <w:style w:type="paragraph" w:styleId="30">
    <w:name w:val="List Bullet 3"/>
    <w:basedOn w:val="a"/>
    <w:pPr>
      <w:ind w:left="1080" w:hanging="360"/>
      <w:contextualSpacing/>
    </w:pPr>
  </w:style>
  <w:style w:type="paragraph" w:customStyle="1" w:styleId="13">
    <w:name w:val="Маркированный список1"/>
    <w:basedOn w:val="a"/>
    <w:pPr>
      <w:numPr>
        <w:numId w:val="2"/>
      </w:numPr>
      <w:contextualSpacing/>
    </w:pPr>
  </w:style>
  <w:style w:type="paragraph" w:customStyle="1" w:styleId="21">
    <w:name w:val="Маркированный список 21"/>
    <w:basedOn w:val="a"/>
    <w:pPr>
      <w:numPr>
        <w:numId w:val="3"/>
      </w:numPr>
      <w:contextualSpacing/>
    </w:pPr>
  </w:style>
  <w:style w:type="paragraph" w:customStyle="1" w:styleId="31">
    <w:name w:val="Маркированный список 31"/>
    <w:basedOn w:val="a"/>
    <w:pPr>
      <w:numPr>
        <w:numId w:val="4"/>
      </w:numPr>
      <w:contextualSpacing/>
    </w:pPr>
  </w:style>
  <w:style w:type="paragraph" w:customStyle="1" w:styleId="14">
    <w:name w:val="Нумерованный список1"/>
    <w:basedOn w:val="a"/>
    <w:pPr>
      <w:numPr>
        <w:numId w:val="5"/>
      </w:numPr>
      <w:contextualSpacing/>
    </w:pPr>
  </w:style>
  <w:style w:type="paragraph" w:customStyle="1" w:styleId="210">
    <w:name w:val="Нумерованный список 21"/>
    <w:basedOn w:val="a"/>
    <w:pPr>
      <w:numPr>
        <w:numId w:val="6"/>
      </w:numPr>
      <w:contextualSpacing/>
    </w:pPr>
  </w:style>
  <w:style w:type="paragraph" w:customStyle="1" w:styleId="310">
    <w:name w:val="Нумерованный список 31"/>
    <w:basedOn w:val="a"/>
    <w:pPr>
      <w:numPr>
        <w:numId w:val="7"/>
      </w:numPr>
      <w:contextualSpacing/>
    </w:pPr>
  </w:style>
  <w:style w:type="paragraph" w:customStyle="1" w:styleId="15">
    <w:name w:val="Продолжение списка1"/>
    <w:basedOn w:val="a"/>
    <w:pPr>
      <w:spacing w:after="120"/>
      <w:ind w:left="360"/>
      <w:contextualSpacing/>
    </w:pPr>
  </w:style>
  <w:style w:type="paragraph" w:customStyle="1" w:styleId="211">
    <w:name w:val="Продолжение списка 21"/>
    <w:basedOn w:val="a"/>
    <w:pPr>
      <w:spacing w:after="120"/>
      <w:ind w:left="720"/>
      <w:contextualSpacing/>
    </w:pPr>
  </w:style>
  <w:style w:type="paragraph" w:customStyle="1" w:styleId="311">
    <w:name w:val="Продолжение списка 31"/>
    <w:basedOn w:val="a"/>
    <w:pPr>
      <w:spacing w:after="120"/>
      <w:ind w:left="1080"/>
      <w:contextualSpacing/>
    </w:pPr>
  </w:style>
  <w:style w:type="paragraph" w:customStyle="1" w:styleId="macro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eastAsia="MS Mincho" w:hAnsi="Courier" w:cs="font955"/>
      <w:lang w:eastAsia="zh-CN"/>
    </w:rPr>
  </w:style>
  <w:style w:type="paragraph" w:customStyle="1" w:styleId="Quote">
    <w:name w:val="Quote"/>
    <w:basedOn w:val="a"/>
    <w:next w:val="a"/>
    <w:rPr>
      <w:i/>
      <w:iCs/>
      <w:color w:val="000000"/>
    </w:rPr>
  </w:style>
  <w:style w:type="paragraph" w:customStyle="1" w:styleId="IntenseQuote">
    <w:name w:val="Intense Quote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b">
    <w:name w:val="index heading"/>
    <w:basedOn w:val="Heading"/>
  </w:style>
  <w:style w:type="paragraph" w:customStyle="1" w:styleId="16">
    <w:name w:val="Заголовок таблицы ссылок1"/>
    <w:basedOn w:val="1"/>
    <w:next w:val="a"/>
    <w:pPr>
      <w:numPr>
        <w:numId w:val="0"/>
      </w:numPr>
      <w:outlineLvl w:val="9"/>
    </w:pPr>
  </w:style>
  <w:style w:type="paragraph" w:styleId="ac">
    <w:name w:val="Normal (Web)"/>
    <w:basedOn w:val="a"/>
    <w:pPr>
      <w:suppressAutoHyphens w:val="0"/>
      <w:spacing w:before="280" w:after="280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Наталья Ларионова</cp:lastModifiedBy>
  <cp:revision>6</cp:revision>
  <cp:lastPrinted>1601-01-01T00:00:00Z</cp:lastPrinted>
  <dcterms:created xsi:type="dcterms:W3CDTF">2026-03-02T09:24:00Z</dcterms:created>
  <dcterms:modified xsi:type="dcterms:W3CDTF">2026-03-02T09:52:00Z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