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FE67" w14:textId="4654C507" w:rsidR="00CF3EEE" w:rsidRPr="00C6034F" w:rsidRDefault="00CF3EEE" w:rsidP="009D33B6">
      <w:pPr>
        <w:spacing w:line="240" w:lineRule="auto"/>
        <w:jc w:val="center"/>
        <w:rPr>
          <w:b/>
          <w:bCs/>
          <w:i/>
          <w:iCs/>
          <w:szCs w:val="24"/>
        </w:rPr>
      </w:pPr>
      <w:r w:rsidRPr="00C6034F">
        <w:rPr>
          <w:b/>
          <w:bCs/>
          <w:szCs w:val="24"/>
        </w:rPr>
        <w:t>Методика оценки светотехнических параметров авиационных внутрикабинных систем светосигнализации и индикации летательных аппаратов</w:t>
      </w:r>
    </w:p>
    <w:p w14:paraId="61492CD1" w14:textId="6326F018" w:rsidR="005A05DA" w:rsidRPr="00E92881" w:rsidRDefault="005A05DA" w:rsidP="009D33B6">
      <w:pPr>
        <w:spacing w:line="240" w:lineRule="auto"/>
        <w:jc w:val="center"/>
        <w:rPr>
          <w:i/>
          <w:iCs/>
          <w:szCs w:val="24"/>
        </w:rPr>
      </w:pPr>
      <w:r w:rsidRPr="00C6034F">
        <w:rPr>
          <w:b/>
          <w:bCs/>
          <w:i/>
          <w:iCs/>
          <w:szCs w:val="24"/>
        </w:rPr>
        <w:t xml:space="preserve">Марьин </w:t>
      </w:r>
      <w:r w:rsidR="00BC281D">
        <w:rPr>
          <w:b/>
          <w:bCs/>
          <w:i/>
          <w:iCs/>
          <w:szCs w:val="24"/>
        </w:rPr>
        <w:t>М.В.</w:t>
      </w:r>
    </w:p>
    <w:p w14:paraId="4F4943CA" w14:textId="3E235E0B" w:rsidR="005A05DA" w:rsidRPr="00E92881" w:rsidRDefault="005A05DA" w:rsidP="009D33B6">
      <w:pPr>
        <w:spacing w:line="240" w:lineRule="auto"/>
        <w:jc w:val="center"/>
        <w:rPr>
          <w:i/>
          <w:iCs/>
          <w:szCs w:val="24"/>
          <w:lang w:val="en-US"/>
        </w:rPr>
      </w:pPr>
      <w:r w:rsidRPr="00C6034F">
        <w:rPr>
          <w:i/>
          <w:iCs/>
          <w:szCs w:val="24"/>
        </w:rPr>
        <w:t>Студент</w:t>
      </w:r>
    </w:p>
    <w:p w14:paraId="23D7AB5A" w14:textId="3D176D7E" w:rsidR="00045761" w:rsidRPr="00C6034F" w:rsidRDefault="00045761" w:rsidP="009D33B6">
      <w:pPr>
        <w:spacing w:line="240" w:lineRule="auto"/>
        <w:jc w:val="center"/>
        <w:rPr>
          <w:i/>
          <w:iCs/>
          <w:szCs w:val="24"/>
        </w:rPr>
      </w:pPr>
      <w:r w:rsidRPr="00C6034F">
        <w:rPr>
          <w:i/>
          <w:iCs/>
          <w:szCs w:val="24"/>
        </w:rPr>
        <w:t>МИРЭА - Российский технологический университет</w:t>
      </w:r>
    </w:p>
    <w:p w14:paraId="32BB2CE0" w14:textId="0F56EDC7" w:rsidR="005A05DA" w:rsidRPr="005A05DA" w:rsidRDefault="002C46A3" w:rsidP="009D33B6">
      <w:pPr>
        <w:spacing w:line="240" w:lineRule="auto"/>
        <w:jc w:val="center"/>
        <w:rPr>
          <w:i/>
          <w:iCs/>
          <w:szCs w:val="24"/>
        </w:rPr>
      </w:pPr>
      <w:r>
        <w:rPr>
          <w:i/>
          <w:iCs/>
          <w:szCs w:val="24"/>
        </w:rPr>
        <w:t>Институт радиоэлектроники и информатики</w:t>
      </w:r>
      <w:r w:rsidR="005A05DA" w:rsidRPr="005A05DA">
        <w:rPr>
          <w:i/>
          <w:iCs/>
          <w:szCs w:val="24"/>
        </w:rPr>
        <w:t>, Москва, Россия</w:t>
      </w:r>
    </w:p>
    <w:p w14:paraId="43F838A4" w14:textId="77777777" w:rsidR="00CF3EEE" w:rsidRPr="009D33B6" w:rsidRDefault="005A05DA" w:rsidP="009D33B6">
      <w:pPr>
        <w:spacing w:line="240" w:lineRule="auto"/>
        <w:jc w:val="center"/>
        <w:rPr>
          <w:i/>
          <w:iCs/>
          <w:szCs w:val="24"/>
        </w:rPr>
      </w:pPr>
      <w:r w:rsidRPr="005A05DA">
        <w:rPr>
          <w:i/>
          <w:iCs/>
          <w:szCs w:val="24"/>
          <w:lang w:val="en-US"/>
        </w:rPr>
        <w:t>E</w:t>
      </w:r>
      <w:r w:rsidRPr="009D33B6">
        <w:rPr>
          <w:i/>
          <w:iCs/>
          <w:szCs w:val="24"/>
        </w:rPr>
        <w:t>–</w:t>
      </w:r>
      <w:r w:rsidRPr="005A05DA">
        <w:rPr>
          <w:i/>
          <w:iCs/>
          <w:szCs w:val="24"/>
          <w:lang w:val="en-US"/>
        </w:rPr>
        <w:t>mail</w:t>
      </w:r>
      <w:r w:rsidRPr="009D33B6">
        <w:rPr>
          <w:i/>
          <w:iCs/>
          <w:szCs w:val="24"/>
        </w:rPr>
        <w:t>:</w:t>
      </w:r>
      <w:r w:rsidR="00045761" w:rsidRPr="009D33B6">
        <w:rPr>
          <w:i/>
          <w:iCs/>
          <w:szCs w:val="24"/>
        </w:rPr>
        <w:t xml:space="preserve"> </w:t>
      </w:r>
      <w:proofErr w:type="spellStart"/>
      <w:r w:rsidR="00045761" w:rsidRPr="00C6034F">
        <w:rPr>
          <w:i/>
          <w:iCs/>
          <w:szCs w:val="24"/>
          <w:lang w:val="en-US"/>
        </w:rPr>
        <w:t>mihhailmarin</w:t>
      </w:r>
      <w:proofErr w:type="spellEnd"/>
      <w:r w:rsidR="00045761" w:rsidRPr="009D33B6">
        <w:rPr>
          <w:i/>
          <w:iCs/>
          <w:szCs w:val="24"/>
        </w:rPr>
        <w:t>@</w:t>
      </w:r>
      <w:r w:rsidR="00045761" w:rsidRPr="00C6034F">
        <w:rPr>
          <w:i/>
          <w:iCs/>
          <w:szCs w:val="24"/>
          <w:lang w:val="en-US"/>
        </w:rPr>
        <w:t>mail</w:t>
      </w:r>
      <w:r w:rsidR="00045761" w:rsidRPr="009D33B6">
        <w:rPr>
          <w:i/>
          <w:iCs/>
          <w:szCs w:val="24"/>
        </w:rPr>
        <w:t>.</w:t>
      </w:r>
      <w:proofErr w:type="spellStart"/>
      <w:r w:rsidR="00045761" w:rsidRPr="00C6034F">
        <w:rPr>
          <w:i/>
          <w:iCs/>
          <w:szCs w:val="24"/>
          <w:lang w:val="en-US"/>
        </w:rPr>
        <w:t>ru</w:t>
      </w:r>
      <w:proofErr w:type="spellEnd"/>
    </w:p>
    <w:p w14:paraId="469EAF64" w14:textId="5268098C" w:rsidR="00CF0E4D" w:rsidRPr="00C6034F" w:rsidRDefault="002072E9" w:rsidP="00FC2FDB">
      <w:pPr>
        <w:tabs>
          <w:tab w:val="left" w:pos="426"/>
        </w:tabs>
        <w:spacing w:after="0" w:line="240" w:lineRule="auto"/>
        <w:ind w:firstLine="397"/>
        <w:jc w:val="both"/>
        <w:rPr>
          <w:szCs w:val="24"/>
        </w:rPr>
      </w:pPr>
      <w:r w:rsidRPr="00C6034F">
        <w:rPr>
          <w:szCs w:val="24"/>
        </w:rPr>
        <w:t>Объектом оценки являются светотехнические характеристики внутрикабинных систем светосигнализации, индикации и освещения летательных аппаратов.</w:t>
      </w:r>
      <w:r w:rsidR="007F366D" w:rsidRPr="00C6034F">
        <w:rPr>
          <w:szCs w:val="24"/>
        </w:rPr>
        <w:t xml:space="preserve"> Основными целями оценки являются гарантирование читаемости информации, при которой индикаторы остаются различимыми в любых условиях – при ярком солнечном свете</w:t>
      </w:r>
      <w:r w:rsidR="00EA15E4" w:rsidRPr="00C6034F">
        <w:rPr>
          <w:szCs w:val="24"/>
        </w:rPr>
        <w:t xml:space="preserve"> (прямая засветка, блики), в темноте (ночная эксплуатация) и при резких перепадах освещённости (вход в облачность, смена времени суток). Также важным аспектом </w:t>
      </w:r>
      <w:r w:rsidR="004D1DC2" w:rsidRPr="00C6034F">
        <w:rPr>
          <w:szCs w:val="24"/>
        </w:rPr>
        <w:t>является снижение зрительной нагрузки на экипаж, так как некорректная яркость или контрастность вызывает утомление глаз, замедляет восприятие данных</w:t>
      </w:r>
      <w:r w:rsidR="002F020E" w:rsidRPr="00C6034F">
        <w:rPr>
          <w:szCs w:val="24"/>
        </w:rPr>
        <w:t xml:space="preserve"> и повышает риск ошибок из</w:t>
      </w:r>
      <w:r w:rsidR="002F020E" w:rsidRPr="00C6034F">
        <w:rPr>
          <w:szCs w:val="24"/>
        </w:rPr>
        <w:noBreakHyphen/>
        <w:t>за «слепящего» эффекта или сливания символов с фоном. При этом необходимо соблюдение всех требований нормативно-технической документации (НТД).</w:t>
      </w:r>
    </w:p>
    <w:p w14:paraId="38CA62F7" w14:textId="4F88E939" w:rsidR="00CF0E4D" w:rsidRPr="00C6034F" w:rsidRDefault="002072E9" w:rsidP="004A457F">
      <w:pPr>
        <w:spacing w:after="0" w:line="240" w:lineRule="auto"/>
        <w:ind w:firstLine="397"/>
        <w:jc w:val="both"/>
        <w:rPr>
          <w:szCs w:val="24"/>
        </w:rPr>
      </w:pPr>
      <w:r w:rsidRPr="00C6034F">
        <w:rPr>
          <w:szCs w:val="24"/>
        </w:rPr>
        <w:t>Оценка светотехнических параметров осуществляется в соответствии с требованиями ОСТ 1 00669-87, ОСТ 1 00533-87, ОСТ 1 00345-87, ОСТ 1 00415-2000.</w:t>
      </w:r>
      <w:r w:rsidR="00FC0736" w:rsidRPr="00C6034F">
        <w:rPr>
          <w:szCs w:val="24"/>
        </w:rPr>
        <w:t xml:space="preserve"> </w:t>
      </w:r>
      <w:r w:rsidRPr="00C6034F">
        <w:rPr>
          <w:szCs w:val="24"/>
        </w:rPr>
        <w:t>Настоящая методика устанавливает методы измерений и расчетов светотехнических параметров систем светосигнализации, индикации и освещения</w:t>
      </w:r>
      <w:r w:rsidR="00734C21" w:rsidRPr="00C6034F">
        <w:rPr>
          <w:szCs w:val="24"/>
        </w:rPr>
        <w:t xml:space="preserve"> в кабинах летательных аппаратов</w:t>
      </w:r>
      <w:r w:rsidR="00FB6CDF" w:rsidRPr="00C6034F">
        <w:rPr>
          <w:szCs w:val="24"/>
        </w:rPr>
        <w:t>, включая</w:t>
      </w:r>
      <w:r w:rsidRPr="00C6034F">
        <w:rPr>
          <w:szCs w:val="24"/>
        </w:rPr>
        <w:t xml:space="preserve"> яркость и равномерность яркости символов, световых сигналов, изображений на пультах, </w:t>
      </w:r>
      <w:r w:rsidR="003E18F8" w:rsidRPr="00C6034F">
        <w:rPr>
          <w:szCs w:val="24"/>
        </w:rPr>
        <w:t xml:space="preserve">а также </w:t>
      </w:r>
      <w:r w:rsidRPr="00C6034F">
        <w:rPr>
          <w:szCs w:val="24"/>
        </w:rPr>
        <w:t>отражени</w:t>
      </w:r>
      <w:r w:rsidR="003E18F8" w:rsidRPr="00C6034F">
        <w:rPr>
          <w:szCs w:val="24"/>
        </w:rPr>
        <w:t>е</w:t>
      </w:r>
      <w:r w:rsidRPr="00C6034F">
        <w:rPr>
          <w:szCs w:val="24"/>
        </w:rPr>
        <w:t xml:space="preserve"> поверхностей экранов индикаторов;</w:t>
      </w:r>
      <w:r w:rsidR="00FB6CDF" w:rsidRPr="00C6034F">
        <w:rPr>
          <w:szCs w:val="24"/>
        </w:rPr>
        <w:t xml:space="preserve"> </w:t>
      </w:r>
      <w:r w:rsidRPr="00C6034F">
        <w:rPr>
          <w:szCs w:val="24"/>
        </w:rPr>
        <w:t>координаты цветности и доминирующ</w:t>
      </w:r>
      <w:r w:rsidR="00FB6CDF" w:rsidRPr="00C6034F">
        <w:rPr>
          <w:szCs w:val="24"/>
        </w:rPr>
        <w:t>ую</w:t>
      </w:r>
      <w:r w:rsidRPr="00C6034F">
        <w:rPr>
          <w:szCs w:val="24"/>
        </w:rPr>
        <w:t xml:space="preserve"> длин</w:t>
      </w:r>
      <w:r w:rsidR="003E18F8" w:rsidRPr="00C6034F">
        <w:rPr>
          <w:szCs w:val="24"/>
        </w:rPr>
        <w:t>у</w:t>
      </w:r>
      <w:r w:rsidRPr="00C6034F">
        <w:rPr>
          <w:szCs w:val="24"/>
        </w:rPr>
        <w:t xml:space="preserve"> волны символов и световых сигналов на пультах, </w:t>
      </w:r>
      <w:proofErr w:type="spellStart"/>
      <w:r w:rsidRPr="00C6034F">
        <w:rPr>
          <w:szCs w:val="24"/>
        </w:rPr>
        <w:t>светосигнализаторах</w:t>
      </w:r>
      <w:proofErr w:type="spellEnd"/>
      <w:r w:rsidRPr="00C6034F">
        <w:rPr>
          <w:szCs w:val="24"/>
        </w:rPr>
        <w:t xml:space="preserve"> и индикаторах;</w:t>
      </w:r>
      <w:r w:rsidR="003E18F8" w:rsidRPr="00C6034F">
        <w:rPr>
          <w:szCs w:val="24"/>
        </w:rPr>
        <w:t xml:space="preserve"> а также </w:t>
      </w:r>
      <w:r w:rsidRPr="00C6034F">
        <w:rPr>
          <w:szCs w:val="24"/>
        </w:rPr>
        <w:t>освещенность элементов внутрикабинного оборудования и зон кабины.  </w:t>
      </w:r>
    </w:p>
    <w:p w14:paraId="73FA3B1F" w14:textId="17FFE88B" w:rsidR="00CF0E4D" w:rsidRPr="00C6034F" w:rsidRDefault="0083576D" w:rsidP="004A457F">
      <w:pPr>
        <w:spacing w:after="0" w:line="240" w:lineRule="auto"/>
        <w:ind w:firstLine="397"/>
        <w:jc w:val="both"/>
        <w:rPr>
          <w:szCs w:val="24"/>
        </w:rPr>
      </w:pPr>
      <w:r w:rsidRPr="00C6034F">
        <w:rPr>
          <w:szCs w:val="24"/>
        </w:rPr>
        <w:t xml:space="preserve">Для проведения измерений применяются </w:t>
      </w:r>
      <w:r w:rsidR="002072E9" w:rsidRPr="00C6034F">
        <w:rPr>
          <w:szCs w:val="24"/>
        </w:rPr>
        <w:t xml:space="preserve">фотометры типа </w:t>
      </w:r>
      <w:proofErr w:type="spellStart"/>
      <w:r w:rsidR="002072E9" w:rsidRPr="00C6034F">
        <w:rPr>
          <w:szCs w:val="24"/>
        </w:rPr>
        <w:t>яркомер</w:t>
      </w:r>
      <w:proofErr w:type="spellEnd"/>
      <w:r w:rsidR="002072E9" w:rsidRPr="00C6034F">
        <w:rPr>
          <w:szCs w:val="24"/>
        </w:rPr>
        <w:t>-колориметр Pritchard-880, Konica Minolta LS-110 или аналогичные по техническим характеристикам средства измерения.</w:t>
      </w:r>
      <w:r w:rsidR="006727CD" w:rsidRPr="00C6034F">
        <w:rPr>
          <w:szCs w:val="24"/>
        </w:rPr>
        <w:t xml:space="preserve"> И</w:t>
      </w:r>
      <w:r w:rsidR="002072E9" w:rsidRPr="00C6034F">
        <w:rPr>
          <w:szCs w:val="24"/>
        </w:rPr>
        <w:t>змерени</w:t>
      </w:r>
      <w:r w:rsidR="006727CD" w:rsidRPr="00C6034F">
        <w:rPr>
          <w:szCs w:val="24"/>
        </w:rPr>
        <w:t>я</w:t>
      </w:r>
      <w:r w:rsidR="002072E9" w:rsidRPr="00C6034F">
        <w:rPr>
          <w:szCs w:val="24"/>
        </w:rPr>
        <w:t xml:space="preserve"> характеристик работы внутрикабинного светотехнического оборудования</w:t>
      </w:r>
      <w:r w:rsidR="006727CD" w:rsidRPr="00C6034F">
        <w:rPr>
          <w:szCs w:val="24"/>
        </w:rPr>
        <w:t xml:space="preserve">, включая </w:t>
      </w:r>
      <w:r w:rsidR="002072E9" w:rsidRPr="00C6034F">
        <w:rPr>
          <w:szCs w:val="24"/>
        </w:rPr>
        <w:t>индикатор</w:t>
      </w:r>
      <w:r w:rsidR="006727CD" w:rsidRPr="00C6034F">
        <w:rPr>
          <w:szCs w:val="24"/>
        </w:rPr>
        <w:t>ы</w:t>
      </w:r>
      <w:r w:rsidR="002072E9" w:rsidRPr="00C6034F">
        <w:rPr>
          <w:szCs w:val="24"/>
        </w:rPr>
        <w:t>, пульт</w:t>
      </w:r>
      <w:r w:rsidR="006727CD" w:rsidRPr="00C6034F">
        <w:rPr>
          <w:szCs w:val="24"/>
        </w:rPr>
        <w:t>ы</w:t>
      </w:r>
      <w:r w:rsidR="002072E9" w:rsidRPr="00C6034F">
        <w:rPr>
          <w:szCs w:val="24"/>
        </w:rPr>
        <w:t xml:space="preserve">, </w:t>
      </w:r>
      <w:proofErr w:type="spellStart"/>
      <w:r w:rsidR="002072E9" w:rsidRPr="00C6034F">
        <w:rPr>
          <w:szCs w:val="24"/>
        </w:rPr>
        <w:t>светосигнализатор</w:t>
      </w:r>
      <w:r w:rsidR="006727CD" w:rsidRPr="00C6034F">
        <w:rPr>
          <w:szCs w:val="24"/>
        </w:rPr>
        <w:t>ы</w:t>
      </w:r>
      <w:proofErr w:type="spellEnd"/>
      <w:r w:rsidR="006727CD" w:rsidRPr="00C6034F">
        <w:rPr>
          <w:szCs w:val="24"/>
        </w:rPr>
        <w:t xml:space="preserve"> и </w:t>
      </w:r>
      <w:r w:rsidR="002072E9" w:rsidRPr="00C6034F">
        <w:rPr>
          <w:szCs w:val="24"/>
        </w:rPr>
        <w:t>светильник</w:t>
      </w:r>
      <w:r w:rsidR="006727CD" w:rsidRPr="00C6034F">
        <w:rPr>
          <w:szCs w:val="24"/>
        </w:rPr>
        <w:t>и,</w:t>
      </w:r>
      <w:r w:rsidR="00CF0E4D" w:rsidRPr="00C6034F">
        <w:rPr>
          <w:szCs w:val="24"/>
        </w:rPr>
        <w:t xml:space="preserve"> выполняются в</w:t>
      </w:r>
      <w:r w:rsidR="002072E9" w:rsidRPr="00C6034F">
        <w:rPr>
          <w:szCs w:val="24"/>
        </w:rPr>
        <w:t xml:space="preserve"> штатны</w:t>
      </w:r>
      <w:r w:rsidR="00CF0E4D" w:rsidRPr="00C6034F">
        <w:rPr>
          <w:szCs w:val="24"/>
        </w:rPr>
        <w:t>х</w:t>
      </w:r>
      <w:r w:rsidR="002072E9" w:rsidRPr="00C6034F">
        <w:rPr>
          <w:szCs w:val="24"/>
        </w:rPr>
        <w:t xml:space="preserve"> условия</w:t>
      </w:r>
      <w:r w:rsidR="00CF0E4D" w:rsidRPr="00C6034F">
        <w:rPr>
          <w:szCs w:val="24"/>
        </w:rPr>
        <w:t>х</w:t>
      </w:r>
      <w:r w:rsidR="002072E9" w:rsidRPr="00C6034F">
        <w:rPr>
          <w:szCs w:val="24"/>
        </w:rPr>
        <w:t xml:space="preserve"> эксплуатации</w:t>
      </w:r>
      <w:r w:rsidR="00CF0E4D" w:rsidRPr="00C6034F">
        <w:rPr>
          <w:szCs w:val="24"/>
        </w:rPr>
        <w:t xml:space="preserve"> и в нормальных климатических </w:t>
      </w:r>
      <w:r w:rsidR="002072E9" w:rsidRPr="00C6034F">
        <w:rPr>
          <w:szCs w:val="24"/>
        </w:rPr>
        <w:t xml:space="preserve">условиях по ГОСТ 21653-76. </w:t>
      </w:r>
      <w:r w:rsidR="00650FC0" w:rsidRPr="00C6034F">
        <w:rPr>
          <w:szCs w:val="24"/>
        </w:rPr>
        <w:t xml:space="preserve">При этом измеряются следующие параметры: яркость участка экрана без изображения (яркость фона изображения) </w:t>
      </w:r>
      <w:r w:rsidR="00BD733A" w:rsidRPr="00C6034F">
        <w:rPr>
          <w:szCs w:val="24"/>
        </w:rPr>
        <w:t xml:space="preserve">в условиях внешней засветки и в условиях полного затемнения, а также </w:t>
      </w:r>
      <w:r w:rsidR="00B31CD0" w:rsidRPr="00C6034F">
        <w:rPr>
          <w:szCs w:val="24"/>
        </w:rPr>
        <w:t xml:space="preserve">яркость эталонной пластины в условиях внешней засветки. </w:t>
      </w:r>
    </w:p>
    <w:p w14:paraId="48174FAF" w14:textId="267401CC" w:rsidR="009678B3" w:rsidRDefault="00B94F12" w:rsidP="004A457F">
      <w:pPr>
        <w:spacing w:after="0" w:line="240" w:lineRule="auto"/>
        <w:ind w:firstLine="397"/>
        <w:jc w:val="both"/>
        <w:rPr>
          <w:szCs w:val="24"/>
        </w:rPr>
      </w:pPr>
      <w:r w:rsidRPr="00C6034F">
        <w:rPr>
          <w:szCs w:val="24"/>
        </w:rPr>
        <w:t>По измеренным параметрам определя</w:t>
      </w:r>
      <w:r w:rsidR="00B133C1">
        <w:rPr>
          <w:szCs w:val="24"/>
        </w:rPr>
        <w:t>ю</w:t>
      </w:r>
      <w:r w:rsidRPr="00C6034F">
        <w:rPr>
          <w:szCs w:val="24"/>
        </w:rPr>
        <w:t xml:space="preserve">тся </w:t>
      </w:r>
      <w:r w:rsidR="00B20250">
        <w:rPr>
          <w:szCs w:val="24"/>
        </w:rPr>
        <w:t>следующие величины.</w:t>
      </w:r>
    </w:p>
    <w:p w14:paraId="50C53BB0" w14:textId="70D660C5" w:rsidR="00B20250" w:rsidRDefault="00B20250" w:rsidP="004A457F">
      <w:pPr>
        <w:spacing w:line="240" w:lineRule="auto"/>
        <w:ind w:firstLine="397"/>
        <w:jc w:val="both"/>
        <w:rPr>
          <w:szCs w:val="24"/>
        </w:rPr>
      </w:pPr>
      <w:r w:rsidRPr="00B20250">
        <w:rPr>
          <w:szCs w:val="24"/>
        </w:rPr>
        <w:t xml:space="preserve">Коэффициент отражения поверхности экрана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Cs w:val="24"/>
              </w:rPr>
              <m:t>ЭК</m:t>
            </m:r>
          </m:sub>
        </m:sSub>
      </m:oMath>
      <w:r w:rsidRPr="00B20250">
        <w:rPr>
          <w:szCs w:val="24"/>
        </w:rPr>
        <w:t xml:space="preserve"> при включенном индикаторе рассчитывается по формуле:</w:t>
      </w:r>
    </w:p>
    <w:p w14:paraId="141DFEC1" w14:textId="5928B321" w:rsidR="000A3E64" w:rsidRPr="000A3E64" w:rsidRDefault="00000000" w:rsidP="0031303A">
      <w:pPr>
        <w:spacing w:line="240" w:lineRule="auto"/>
        <w:ind w:firstLine="397"/>
        <w:rPr>
          <w:rFonts w:eastAsiaTheme="minorEastAsia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ЭК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Ф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Ф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0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ПЛ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ПЛ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szCs w:val="24"/>
                </w:rPr>
              </m:ctrlPr>
            </m:e>
          </m:eqArr>
        </m:oMath>
      </m:oMathPara>
    </w:p>
    <w:p w14:paraId="05041ABF" w14:textId="2AD320FB" w:rsidR="0031303A" w:rsidRPr="0031303A" w:rsidRDefault="0031303A" w:rsidP="004A457F">
      <w:pPr>
        <w:spacing w:after="0" w:line="240" w:lineRule="auto"/>
        <w:ind w:firstLine="397"/>
        <w:jc w:val="both"/>
        <w:rPr>
          <w:szCs w:val="24"/>
        </w:rPr>
      </w:pPr>
      <w:r w:rsidRPr="0031303A">
        <w:rPr>
          <w:szCs w:val="24"/>
        </w:rPr>
        <w:t xml:space="preserve">где: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Ф</m:t>
            </m:r>
          </m:sub>
        </m:sSub>
      </m:oMath>
      <w:r w:rsidRPr="0031303A">
        <w:rPr>
          <w:szCs w:val="24"/>
        </w:rPr>
        <w:t xml:space="preserve"> – яркость участка без изображения при заданном уровне внешней освещенности, кд/м</w:t>
      </w:r>
      <w:r w:rsidRPr="009D33B6">
        <w:rPr>
          <w:szCs w:val="24"/>
          <w:vertAlign w:val="superscript"/>
        </w:rPr>
        <w:t>2</w:t>
      </w:r>
      <w:r w:rsidRPr="0031303A">
        <w:rPr>
          <w:szCs w:val="24"/>
        </w:rPr>
        <w:t xml:space="preserve">; </w:t>
      </w:r>
    </w:p>
    <w:p w14:paraId="0982C936" w14:textId="4EFD9EC5" w:rsidR="0031303A" w:rsidRPr="0031303A" w:rsidRDefault="00000000" w:rsidP="004A457F">
      <w:pPr>
        <w:spacing w:after="0" w:line="240" w:lineRule="auto"/>
        <w:ind w:firstLine="397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0</m:t>
                </m:r>
              </m:sub>
            </m:sSub>
          </m:sub>
        </m:sSub>
      </m:oMath>
      <w:r w:rsidR="0031303A" w:rsidRPr="0031303A">
        <w:rPr>
          <w:szCs w:val="24"/>
        </w:rPr>
        <w:t>– яркость участка без изображения в условиях затемнения, кд/м</w:t>
      </w:r>
      <w:r w:rsidR="0031303A" w:rsidRPr="009D33B6">
        <w:rPr>
          <w:szCs w:val="24"/>
          <w:vertAlign w:val="superscript"/>
        </w:rPr>
        <w:t>2</w:t>
      </w:r>
      <w:r w:rsidR="0031303A" w:rsidRPr="0031303A">
        <w:rPr>
          <w:szCs w:val="24"/>
        </w:rPr>
        <w:t xml:space="preserve">; </w:t>
      </w:r>
    </w:p>
    <w:p w14:paraId="06AF450E" w14:textId="5FCB77A0" w:rsidR="0031303A" w:rsidRPr="0031303A" w:rsidRDefault="00000000" w:rsidP="004A457F">
      <w:pPr>
        <w:spacing w:after="0" w:line="240" w:lineRule="auto"/>
        <w:ind w:firstLine="397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ПЛ</m:t>
            </m:r>
          </m:sub>
        </m:sSub>
      </m:oMath>
      <w:r w:rsidR="0031303A" w:rsidRPr="0031303A">
        <w:rPr>
          <w:szCs w:val="24"/>
        </w:rPr>
        <w:t xml:space="preserve"> – яркость эталонной пластины при заданном уровне внешней освещенности, кд/м</w:t>
      </w:r>
      <w:r w:rsidR="0031303A" w:rsidRPr="009D33B6">
        <w:rPr>
          <w:szCs w:val="24"/>
          <w:vertAlign w:val="superscript"/>
        </w:rPr>
        <w:t>2</w:t>
      </w:r>
      <w:r w:rsidR="0031303A" w:rsidRPr="0031303A">
        <w:rPr>
          <w:szCs w:val="24"/>
        </w:rPr>
        <w:t xml:space="preserve">; </w:t>
      </w:r>
    </w:p>
    <w:p w14:paraId="07672F2C" w14:textId="784663B8" w:rsidR="009678B3" w:rsidRPr="0031303A" w:rsidRDefault="00000000" w:rsidP="004A457F">
      <w:pPr>
        <w:spacing w:after="0" w:line="240" w:lineRule="auto"/>
        <w:ind w:firstLine="397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Cs w:val="24"/>
              </w:rPr>
              <m:t>ПЛ</m:t>
            </m:r>
          </m:sub>
        </m:sSub>
      </m:oMath>
      <w:r w:rsidR="0031303A" w:rsidRPr="0031303A">
        <w:rPr>
          <w:szCs w:val="24"/>
        </w:rPr>
        <w:t>– коэффициент отражения эталонной пластины, отн.ед.</w:t>
      </w:r>
    </w:p>
    <w:p w14:paraId="5E1BF97A" w14:textId="03F601ED" w:rsidR="009678B3" w:rsidRDefault="00454E52" w:rsidP="004A457F">
      <w:pPr>
        <w:spacing w:line="240" w:lineRule="auto"/>
        <w:ind w:firstLine="397"/>
        <w:jc w:val="both"/>
        <w:rPr>
          <w:szCs w:val="24"/>
        </w:rPr>
      </w:pPr>
      <w:r>
        <w:rPr>
          <w:szCs w:val="24"/>
        </w:rPr>
        <w:lastRenderedPageBreak/>
        <w:t>Я</w:t>
      </w:r>
      <w:r w:rsidRPr="00454E52">
        <w:rPr>
          <w:szCs w:val="24"/>
        </w:rPr>
        <w:t>ркость поверхности экрана при внешней освещенности рассчитывается по формуле:</w:t>
      </w:r>
    </w:p>
    <w:p w14:paraId="4BCD7700" w14:textId="597EAF73" w:rsidR="00340550" w:rsidRPr="00FB2A66" w:rsidRDefault="00000000" w:rsidP="009678B3">
      <w:pPr>
        <w:spacing w:line="240" w:lineRule="auto"/>
        <w:ind w:firstLine="397"/>
        <w:rPr>
          <w:rFonts w:eastAsiaTheme="minorEastAsia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ЭК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E×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ЭК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π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2</m:t>
                  </m:r>
                </m:e>
              </m:d>
              <m:ctrlPr>
                <w:rPr>
                  <w:rFonts w:ascii="Cambria Math" w:hAnsi="Cambria Math"/>
                  <w:i/>
                  <w:szCs w:val="24"/>
                </w:rPr>
              </m:ctrlPr>
            </m:e>
          </m:eqArr>
        </m:oMath>
      </m:oMathPara>
    </w:p>
    <w:p w14:paraId="52F7A780" w14:textId="4382C424" w:rsidR="00FB2A66" w:rsidRPr="00FB2A66" w:rsidRDefault="00FB2A66" w:rsidP="004A457F">
      <w:pPr>
        <w:spacing w:after="0" w:line="240" w:lineRule="auto"/>
        <w:ind w:firstLine="397"/>
        <w:jc w:val="both"/>
        <w:rPr>
          <w:rFonts w:eastAsiaTheme="minorEastAsia"/>
          <w:szCs w:val="24"/>
        </w:rPr>
      </w:pPr>
      <w:r w:rsidRPr="00FB2A66">
        <w:rPr>
          <w:rFonts w:eastAsiaTheme="minorEastAsia"/>
          <w:szCs w:val="24"/>
        </w:rPr>
        <w:t xml:space="preserve">где: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ЭК</m:t>
            </m:r>
          </m:sub>
        </m:sSub>
      </m:oMath>
      <w:r w:rsidRPr="00FB2A66">
        <w:rPr>
          <w:rFonts w:eastAsiaTheme="minorEastAsia"/>
          <w:szCs w:val="24"/>
        </w:rPr>
        <w:t>– яркость (отраженная) поверхности экрана, кд/м</w:t>
      </w:r>
      <w:r w:rsidRPr="009D33B6">
        <w:rPr>
          <w:rFonts w:eastAsiaTheme="minorEastAsia"/>
          <w:szCs w:val="24"/>
          <w:vertAlign w:val="superscript"/>
        </w:rPr>
        <w:t>2</w:t>
      </w:r>
      <w:r w:rsidRPr="00FB2A66">
        <w:rPr>
          <w:rFonts w:eastAsiaTheme="minorEastAsia"/>
          <w:szCs w:val="24"/>
        </w:rPr>
        <w:t xml:space="preserve">;  </w:t>
      </w:r>
    </w:p>
    <w:p w14:paraId="01E1C46D" w14:textId="0CCE4EE1" w:rsidR="00FB2A66" w:rsidRPr="00FB2A66" w:rsidRDefault="00F67C36" w:rsidP="004A457F">
      <w:pPr>
        <w:spacing w:after="0" w:line="240" w:lineRule="auto"/>
        <w:ind w:firstLine="397"/>
        <w:jc w:val="both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Е</m:t>
        </m:r>
      </m:oMath>
      <w:r w:rsidR="00FB2A66" w:rsidRPr="00FB2A66">
        <w:rPr>
          <w:rFonts w:eastAsiaTheme="minorEastAsia"/>
          <w:szCs w:val="24"/>
        </w:rPr>
        <w:t xml:space="preserve"> – освещенность в плоскости экрана, лк; </w:t>
      </w:r>
    </w:p>
    <w:p w14:paraId="3C20980D" w14:textId="3E234C7B" w:rsidR="0031303A" w:rsidRPr="009D33B6" w:rsidRDefault="00000000" w:rsidP="004A457F">
      <w:pPr>
        <w:spacing w:line="240" w:lineRule="auto"/>
        <w:ind w:firstLine="397"/>
        <w:jc w:val="both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ЭК</m:t>
            </m:r>
          </m:sub>
        </m:sSub>
      </m:oMath>
      <w:r w:rsidR="00FB2A66" w:rsidRPr="00553C66">
        <w:rPr>
          <w:rFonts w:eastAsiaTheme="minorEastAsia"/>
          <w:szCs w:val="24"/>
        </w:rPr>
        <w:t xml:space="preserve"> – коэффициент отражения поверхности экрана, </w:t>
      </w:r>
      <w:proofErr w:type="spellStart"/>
      <w:r w:rsidR="00FB2A66" w:rsidRPr="00553C66">
        <w:rPr>
          <w:rFonts w:eastAsiaTheme="minorEastAsia"/>
          <w:szCs w:val="24"/>
        </w:rPr>
        <w:t>отн.ед</w:t>
      </w:r>
      <w:proofErr w:type="spellEnd"/>
      <w:r w:rsidR="00FB2A66" w:rsidRPr="00553C66">
        <w:rPr>
          <w:rFonts w:eastAsiaTheme="minorEastAsia"/>
          <w:szCs w:val="24"/>
        </w:rPr>
        <w:t>.</w:t>
      </w:r>
    </w:p>
    <w:p w14:paraId="41DBF2D2" w14:textId="4C0D7A7B" w:rsidR="00773D11" w:rsidRDefault="008E7DB0" w:rsidP="004A457F">
      <w:pPr>
        <w:spacing w:line="240" w:lineRule="auto"/>
        <w:ind w:firstLine="397"/>
        <w:jc w:val="both"/>
        <w:rPr>
          <w:szCs w:val="24"/>
        </w:rPr>
      </w:pPr>
      <w:r>
        <w:rPr>
          <w:szCs w:val="24"/>
        </w:rPr>
        <w:t>Я</w:t>
      </w:r>
      <w:r w:rsidRPr="008E7DB0">
        <w:rPr>
          <w:szCs w:val="24"/>
        </w:rPr>
        <w:t>ркость символа (светового сигнала) с учетом дополнительной яркости от внешнего освещения рассчитывается по формуле:</w:t>
      </w:r>
    </w:p>
    <w:p w14:paraId="1B933FFF" w14:textId="7B0AD68D" w:rsidR="00454E52" w:rsidRPr="00454E52" w:rsidRDefault="00000000" w:rsidP="00454E52">
      <w:pPr>
        <w:spacing w:line="240" w:lineRule="auto"/>
        <w:ind w:firstLine="397"/>
        <w:rPr>
          <w:rFonts w:eastAsiaTheme="minorEastAsia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24"/>
                </w:rPr>
              </m:ctrlPr>
            </m:eqArrPr>
            <m:e>
              <m:r>
                <w:rPr>
                  <w:rFonts w:ascii="Cambria Math" w:hAnsi="Cambria Math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Cs w:val="24"/>
                  <w:lang w:val="en-US"/>
                </w:rPr>
                <m:t xml:space="preserve">L=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ИЗЛ</m:t>
                  </m:r>
                </m:sub>
              </m:sSub>
              <m:r>
                <w:rPr>
                  <w:rFonts w:ascii="Cambria Math" w:hAnsi="Cambria Math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ЭКР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3</m:t>
                  </m:r>
                </m:e>
              </m:d>
            </m:e>
          </m:eqArr>
        </m:oMath>
      </m:oMathPara>
    </w:p>
    <w:p w14:paraId="33333B2C" w14:textId="1167A179" w:rsidR="00AE2D49" w:rsidRPr="00AE2D49" w:rsidRDefault="00AE2D49" w:rsidP="004A457F">
      <w:pPr>
        <w:spacing w:after="0" w:line="240" w:lineRule="auto"/>
        <w:ind w:firstLine="397"/>
        <w:jc w:val="both"/>
        <w:rPr>
          <w:szCs w:val="24"/>
        </w:rPr>
      </w:pPr>
      <w:r w:rsidRPr="00AE2D49">
        <w:rPr>
          <w:szCs w:val="24"/>
        </w:rPr>
        <w:t xml:space="preserve">где: </w:t>
      </w:r>
      <m:oMath>
        <m:r>
          <w:rPr>
            <w:rFonts w:ascii="Cambria Math" w:hAnsi="Cambria Math"/>
            <w:szCs w:val="24"/>
            <w:lang w:val="en-US"/>
          </w:rPr>
          <m:t>L</m:t>
        </m:r>
      </m:oMath>
      <w:r w:rsidRPr="00AE2D49">
        <w:rPr>
          <w:szCs w:val="24"/>
        </w:rPr>
        <w:t xml:space="preserve"> – яркость символа (светового сигнала) с учетом дополнительной яркости от внешнего освещения, кд/м</w:t>
      </w:r>
      <w:r w:rsidRPr="009D33B6">
        <w:rPr>
          <w:szCs w:val="24"/>
          <w:vertAlign w:val="superscript"/>
        </w:rPr>
        <w:t>2</w:t>
      </w:r>
      <w:r w:rsidRPr="00AE2D49">
        <w:rPr>
          <w:szCs w:val="24"/>
        </w:rPr>
        <w:t xml:space="preserve">; </w:t>
      </w:r>
    </w:p>
    <w:p w14:paraId="5EDEEF6B" w14:textId="644342D0" w:rsidR="00AE2D49" w:rsidRPr="00AE2D49" w:rsidRDefault="00000000" w:rsidP="004A457F">
      <w:pPr>
        <w:spacing w:after="0" w:line="240" w:lineRule="auto"/>
        <w:ind w:firstLine="397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ИЗЛ</m:t>
            </m:r>
          </m:sub>
        </m:sSub>
      </m:oMath>
      <w:r w:rsidR="00AE2D49" w:rsidRPr="00AE2D49">
        <w:rPr>
          <w:szCs w:val="24"/>
        </w:rPr>
        <w:t xml:space="preserve"> – измеренная яркость символа в условиях затемнения, кд/м</w:t>
      </w:r>
      <w:r w:rsidR="00AE2D49" w:rsidRPr="005353D5">
        <w:rPr>
          <w:szCs w:val="24"/>
          <w:vertAlign w:val="superscript"/>
        </w:rPr>
        <w:t>2</w:t>
      </w:r>
      <w:r w:rsidR="00AE2D49" w:rsidRPr="00AE2D49">
        <w:rPr>
          <w:szCs w:val="24"/>
        </w:rPr>
        <w:t xml:space="preserve">; </w:t>
      </w:r>
    </w:p>
    <w:p w14:paraId="615D32A8" w14:textId="577657AB" w:rsidR="00773D11" w:rsidRPr="008E3369" w:rsidRDefault="00000000" w:rsidP="004A457F">
      <w:pPr>
        <w:spacing w:line="240" w:lineRule="auto"/>
        <w:ind w:firstLine="397"/>
        <w:jc w:val="both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ЭКР</m:t>
            </m:r>
          </m:sub>
        </m:sSub>
      </m:oMath>
      <w:r w:rsidR="00AE2D49" w:rsidRPr="00AE2D49">
        <w:rPr>
          <w:szCs w:val="24"/>
        </w:rPr>
        <w:t xml:space="preserve"> – яркость (отраженная) поверхности экрана, кд/м</w:t>
      </w:r>
      <w:r w:rsidR="00AE2D49" w:rsidRPr="009D33B6">
        <w:rPr>
          <w:szCs w:val="24"/>
          <w:vertAlign w:val="superscript"/>
        </w:rPr>
        <w:t>2</w:t>
      </w:r>
      <w:r w:rsidR="00AE2D49" w:rsidRPr="00AE2D49">
        <w:rPr>
          <w:szCs w:val="24"/>
        </w:rPr>
        <w:t>.</w:t>
      </w:r>
    </w:p>
    <w:p w14:paraId="52C48076" w14:textId="102268E7" w:rsidR="00707BCF" w:rsidRDefault="00082B59" w:rsidP="00116040">
      <w:pPr>
        <w:tabs>
          <w:tab w:val="left" w:pos="2880"/>
        </w:tabs>
        <w:spacing w:line="240" w:lineRule="auto"/>
        <w:ind w:firstLine="397"/>
        <w:jc w:val="both"/>
        <w:rPr>
          <w:szCs w:val="24"/>
        </w:rPr>
      </w:pPr>
      <w:r w:rsidRPr="00C6034F">
        <w:rPr>
          <w:szCs w:val="24"/>
        </w:rPr>
        <w:t>Полученные результаты расчётов сводятся в таблицу</w:t>
      </w:r>
      <w:r>
        <w:rPr>
          <w:szCs w:val="24"/>
        </w:rPr>
        <w:t xml:space="preserve"> </w:t>
      </w:r>
      <w:r w:rsidRPr="00C6034F">
        <w:rPr>
          <w:szCs w:val="24"/>
        </w:rPr>
        <w:t xml:space="preserve">и сравниваются с требованиями, указанными в </w:t>
      </w:r>
      <w:r w:rsidRPr="00C6034F">
        <w:rPr>
          <w:rFonts w:eastAsiaTheme="minorEastAsia"/>
          <w:szCs w:val="24"/>
        </w:rPr>
        <w:t>ОСТ 1 00345-87.</w:t>
      </w:r>
      <w:r>
        <w:rPr>
          <w:szCs w:val="24"/>
        </w:rPr>
        <w:t xml:space="preserve"> </w:t>
      </w:r>
      <w:r w:rsidR="00707BCF">
        <w:rPr>
          <w:szCs w:val="24"/>
        </w:rPr>
        <w:t xml:space="preserve">Приведем </w:t>
      </w:r>
      <w:r w:rsidR="00404AEF">
        <w:rPr>
          <w:szCs w:val="24"/>
        </w:rPr>
        <w:t>расчёт</w:t>
      </w:r>
      <w:r w:rsidR="00707BCF">
        <w:rPr>
          <w:szCs w:val="24"/>
        </w:rPr>
        <w:t xml:space="preserve"> коэффициента</w:t>
      </w:r>
      <w:r w:rsidR="00404AEF">
        <w:rPr>
          <w:szCs w:val="24"/>
        </w:rPr>
        <w:t xml:space="preserve"> отражения экрана</w:t>
      </w:r>
      <w:r w:rsidR="00707BCF">
        <w:rPr>
          <w:szCs w:val="24"/>
        </w:rPr>
        <w:t xml:space="preserve"> по измеренным параметрам</w:t>
      </w:r>
      <w:r w:rsidR="007207DE">
        <w:rPr>
          <w:szCs w:val="24"/>
        </w:rPr>
        <w:t xml:space="preserve"> </w:t>
      </w:r>
      <w:r w:rsidR="00D966C7">
        <w:rPr>
          <w:szCs w:val="24"/>
        </w:rPr>
        <w:t xml:space="preserve">по </w:t>
      </w:r>
      <w:r w:rsidR="007207DE">
        <w:rPr>
          <w:szCs w:val="24"/>
        </w:rPr>
        <w:t>(1).</w:t>
      </w:r>
    </w:p>
    <w:p w14:paraId="57811AD6" w14:textId="77777777" w:rsidR="00707BCF" w:rsidRDefault="00707BCF" w:rsidP="00116040">
      <w:pPr>
        <w:tabs>
          <w:tab w:val="left" w:pos="288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Таблица 1 – Коэффициент диффузного отражения поверхности экрана индикатора Б7Б-КБО-КС (уровень регулировки яркости – максимум)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134"/>
        <w:gridCol w:w="2245"/>
        <w:gridCol w:w="1212"/>
        <w:gridCol w:w="1157"/>
      </w:tblGrid>
      <w:tr w:rsidR="007E6E07" w14:paraId="2A26974D" w14:textId="77777777" w:rsidTr="004E0AC6">
        <w:trPr>
          <w:jc w:val="center"/>
        </w:trPr>
        <w:tc>
          <w:tcPr>
            <w:tcW w:w="1384" w:type="dxa"/>
          </w:tcPr>
          <w:p w14:paraId="0EEF7A22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Участок измерения</w:t>
            </w:r>
          </w:p>
        </w:tc>
        <w:tc>
          <w:tcPr>
            <w:tcW w:w="2268" w:type="dxa"/>
            <w:gridSpan w:val="2"/>
          </w:tcPr>
          <w:p w14:paraId="142D1D88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Яркость участка без изображения (черного цвета), кд</w:t>
            </w:r>
            <w:r w:rsidRPr="00C0528A">
              <w:rPr>
                <w:szCs w:val="24"/>
              </w:rPr>
              <w:t>/</w:t>
            </w:r>
            <w:r>
              <w:rPr>
                <w:szCs w:val="24"/>
              </w:rPr>
              <w:t>м2</w:t>
            </w:r>
          </w:p>
        </w:tc>
        <w:tc>
          <w:tcPr>
            <w:tcW w:w="1134" w:type="dxa"/>
          </w:tcPr>
          <w:p w14:paraId="21D2A035" w14:textId="77777777" w:rsidR="00707BCF" w:rsidRPr="00427343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Отраженная яркость экрана, кд</w:t>
            </w:r>
            <w:r w:rsidRPr="00427343">
              <w:rPr>
                <w:szCs w:val="24"/>
              </w:rPr>
              <w:t>/</w:t>
            </w:r>
            <w:r>
              <w:rPr>
                <w:szCs w:val="24"/>
              </w:rPr>
              <w:t>м2</w:t>
            </w:r>
          </w:p>
        </w:tc>
        <w:tc>
          <w:tcPr>
            <w:tcW w:w="2245" w:type="dxa"/>
          </w:tcPr>
          <w:p w14:paraId="2858D4C4" w14:textId="6C5B79DD" w:rsidR="00707BCF" w:rsidRPr="00427343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Яркость эталонной пластины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ОТР</m:t>
                  </m:r>
                </m:sub>
              </m:sSub>
            </m:oMath>
            <w:r>
              <w:rPr>
                <w:szCs w:val="24"/>
              </w:rPr>
              <w:t>=0,98) при внешней засветке, кд</w:t>
            </w:r>
            <w:r w:rsidRPr="00427343">
              <w:rPr>
                <w:szCs w:val="24"/>
              </w:rPr>
              <w:t>/</w:t>
            </w:r>
            <w:r>
              <w:rPr>
                <w:szCs w:val="24"/>
              </w:rPr>
              <w:t>м2</w:t>
            </w:r>
          </w:p>
        </w:tc>
        <w:tc>
          <w:tcPr>
            <w:tcW w:w="2369" w:type="dxa"/>
            <w:gridSpan w:val="2"/>
          </w:tcPr>
          <w:p w14:paraId="72E72FED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Коэффициент отражения экрана, </w:t>
            </w:r>
            <w:proofErr w:type="spellStart"/>
            <w:r>
              <w:rPr>
                <w:szCs w:val="24"/>
              </w:rPr>
              <w:t>отн.ед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7E6E07" w14:paraId="37CD90C6" w14:textId="77777777" w:rsidTr="00C900CE">
        <w:trPr>
          <w:trHeight w:val="1118"/>
          <w:jc w:val="center"/>
        </w:trPr>
        <w:tc>
          <w:tcPr>
            <w:tcW w:w="1384" w:type="dxa"/>
          </w:tcPr>
          <w:p w14:paraId="258736B9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F4B1133" w14:textId="72E4EB31" w:rsidR="00707BCF" w:rsidRPr="00B3779D" w:rsidRDefault="00707BCF" w:rsidP="00930BB9">
            <w:pPr>
              <w:tabs>
                <w:tab w:val="left" w:pos="2880"/>
              </w:tabs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При внешней засветке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Ф</m:t>
                  </m:r>
                </m:sub>
              </m:sSub>
            </m:oMath>
          </w:p>
        </w:tc>
        <w:tc>
          <w:tcPr>
            <w:tcW w:w="1134" w:type="dxa"/>
          </w:tcPr>
          <w:p w14:paraId="0DDFC200" w14:textId="0B95F875" w:rsidR="00707BCF" w:rsidRPr="00B3779D" w:rsidRDefault="00707BCF" w:rsidP="00930BB9">
            <w:pPr>
              <w:tabs>
                <w:tab w:val="left" w:pos="2880"/>
              </w:tabs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В условиях затемнения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Ф0</m:t>
                  </m:r>
                </m:sub>
              </m:sSub>
            </m:oMath>
          </w:p>
        </w:tc>
        <w:tc>
          <w:tcPr>
            <w:tcW w:w="1134" w:type="dxa"/>
          </w:tcPr>
          <w:p w14:paraId="5C221FC3" w14:textId="577F8417" w:rsidR="00707BCF" w:rsidRPr="005A1931" w:rsidRDefault="00000000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Ф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Ф0</m:t>
                    </m:r>
                  </m:sub>
                </m:sSub>
              </m:oMath>
            </m:oMathPara>
          </w:p>
        </w:tc>
        <w:tc>
          <w:tcPr>
            <w:tcW w:w="2245" w:type="dxa"/>
          </w:tcPr>
          <w:p w14:paraId="24296AA9" w14:textId="648F1D62" w:rsidR="00707BCF" w:rsidRDefault="00000000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ПЛ</m:t>
                    </m:r>
                  </m:sub>
                </m:sSub>
              </m:oMath>
            </m:oMathPara>
          </w:p>
        </w:tc>
        <w:tc>
          <w:tcPr>
            <w:tcW w:w="1212" w:type="dxa"/>
          </w:tcPr>
          <w:p w14:paraId="63EDA1AB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На отдельных участках экрана</w:t>
            </w:r>
          </w:p>
        </w:tc>
        <w:tc>
          <w:tcPr>
            <w:tcW w:w="1157" w:type="dxa"/>
          </w:tcPr>
          <w:p w14:paraId="2E6019E1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Среднее по экрану</w:t>
            </w:r>
          </w:p>
        </w:tc>
      </w:tr>
      <w:tr w:rsidR="007E6E07" w14:paraId="2EC83056" w14:textId="77777777" w:rsidTr="004E0AC6">
        <w:trPr>
          <w:jc w:val="center"/>
        </w:trPr>
        <w:tc>
          <w:tcPr>
            <w:tcW w:w="1384" w:type="dxa"/>
          </w:tcPr>
          <w:p w14:paraId="6437D312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Левый верхний</w:t>
            </w:r>
          </w:p>
        </w:tc>
        <w:tc>
          <w:tcPr>
            <w:tcW w:w="1134" w:type="dxa"/>
          </w:tcPr>
          <w:p w14:paraId="4CA93CE5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6,4</w:t>
            </w:r>
          </w:p>
        </w:tc>
        <w:tc>
          <w:tcPr>
            <w:tcW w:w="1134" w:type="dxa"/>
          </w:tcPr>
          <w:p w14:paraId="1391F17D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60EA0926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2245" w:type="dxa"/>
          </w:tcPr>
          <w:p w14:paraId="0D6DCE40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196,2</w:t>
            </w:r>
          </w:p>
        </w:tc>
        <w:tc>
          <w:tcPr>
            <w:tcW w:w="1212" w:type="dxa"/>
          </w:tcPr>
          <w:p w14:paraId="488E1FC0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0,02243</w:t>
            </w:r>
          </w:p>
        </w:tc>
        <w:tc>
          <w:tcPr>
            <w:tcW w:w="1157" w:type="dxa"/>
            <w:vMerge w:val="restart"/>
          </w:tcPr>
          <w:p w14:paraId="0F64F2ED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0,0185767</w:t>
            </w:r>
          </w:p>
        </w:tc>
      </w:tr>
      <w:tr w:rsidR="007E6E07" w14:paraId="6ED3CB8B" w14:textId="77777777" w:rsidTr="004E0AC6">
        <w:trPr>
          <w:jc w:val="center"/>
        </w:trPr>
        <w:tc>
          <w:tcPr>
            <w:tcW w:w="1384" w:type="dxa"/>
          </w:tcPr>
          <w:p w14:paraId="50F31C99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Центр</w:t>
            </w:r>
          </w:p>
        </w:tc>
        <w:tc>
          <w:tcPr>
            <w:tcW w:w="1134" w:type="dxa"/>
          </w:tcPr>
          <w:p w14:paraId="199CECC1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134" w:type="dxa"/>
          </w:tcPr>
          <w:p w14:paraId="3433736B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34DF9867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2245" w:type="dxa"/>
          </w:tcPr>
          <w:p w14:paraId="00E67AAB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160,7</w:t>
            </w:r>
          </w:p>
        </w:tc>
        <w:tc>
          <w:tcPr>
            <w:tcW w:w="1212" w:type="dxa"/>
          </w:tcPr>
          <w:p w14:paraId="24FC9E08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0,01618</w:t>
            </w:r>
          </w:p>
        </w:tc>
        <w:tc>
          <w:tcPr>
            <w:tcW w:w="1157" w:type="dxa"/>
            <w:vMerge/>
          </w:tcPr>
          <w:p w14:paraId="0A475D52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</w:p>
        </w:tc>
      </w:tr>
      <w:tr w:rsidR="007E6E07" w14:paraId="685C3E2B" w14:textId="77777777" w:rsidTr="004E0AC6">
        <w:trPr>
          <w:jc w:val="center"/>
        </w:trPr>
        <w:tc>
          <w:tcPr>
            <w:tcW w:w="1384" w:type="dxa"/>
          </w:tcPr>
          <w:p w14:paraId="4E349742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Правый верхний</w:t>
            </w:r>
          </w:p>
        </w:tc>
        <w:tc>
          <w:tcPr>
            <w:tcW w:w="1134" w:type="dxa"/>
          </w:tcPr>
          <w:p w14:paraId="529B95AB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4,2</w:t>
            </w:r>
          </w:p>
        </w:tc>
        <w:tc>
          <w:tcPr>
            <w:tcW w:w="1134" w:type="dxa"/>
          </w:tcPr>
          <w:p w14:paraId="35C9A108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13337691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2,2</w:t>
            </w:r>
          </w:p>
        </w:tc>
        <w:tc>
          <w:tcPr>
            <w:tcW w:w="2245" w:type="dxa"/>
          </w:tcPr>
          <w:p w14:paraId="3858572B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128,5</w:t>
            </w:r>
          </w:p>
        </w:tc>
        <w:tc>
          <w:tcPr>
            <w:tcW w:w="1212" w:type="dxa"/>
          </w:tcPr>
          <w:p w14:paraId="3014D2D5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0,01712</w:t>
            </w:r>
          </w:p>
        </w:tc>
        <w:tc>
          <w:tcPr>
            <w:tcW w:w="1157" w:type="dxa"/>
            <w:vMerge/>
          </w:tcPr>
          <w:p w14:paraId="29E8F06D" w14:textId="77777777" w:rsidR="00707BCF" w:rsidRDefault="00707BCF" w:rsidP="00930BB9">
            <w:pPr>
              <w:tabs>
                <w:tab w:val="left" w:pos="2880"/>
              </w:tabs>
              <w:jc w:val="center"/>
              <w:rPr>
                <w:szCs w:val="24"/>
              </w:rPr>
            </w:pPr>
          </w:p>
        </w:tc>
      </w:tr>
    </w:tbl>
    <w:p w14:paraId="6FB01FE5" w14:textId="3F11206D" w:rsidR="00707BCF" w:rsidRPr="00525172" w:rsidRDefault="00707BCF" w:rsidP="00525172">
      <w:pPr>
        <w:spacing w:line="240" w:lineRule="auto"/>
        <w:ind w:firstLine="397"/>
        <w:jc w:val="both"/>
        <w:rPr>
          <w:szCs w:val="24"/>
        </w:rPr>
      </w:pPr>
      <w:r>
        <w:rPr>
          <w:szCs w:val="24"/>
        </w:rPr>
        <w:t xml:space="preserve">Среднее значение коэффициента отражения составляет 0,0185767 (максимальное значение 0,02243) и </w:t>
      </w:r>
      <w:r w:rsidR="00F40D16">
        <w:rPr>
          <w:szCs w:val="24"/>
        </w:rPr>
        <w:t>соответствует требованиям</w:t>
      </w:r>
      <w:r>
        <w:rPr>
          <w:szCs w:val="24"/>
        </w:rPr>
        <w:t xml:space="preserve"> ОСТ 1 00533-87 и ОСТ 1 00345-87. Указанные данные позволяют провести расчетную оценку показателей</w:t>
      </w:r>
      <w:r w:rsidR="0065302A">
        <w:rPr>
          <w:szCs w:val="24"/>
        </w:rPr>
        <w:t xml:space="preserve"> по </w:t>
      </w:r>
      <w:r w:rsidR="00525172">
        <w:rPr>
          <w:szCs w:val="24"/>
        </w:rPr>
        <w:t>(1-3).</w:t>
      </w:r>
    </w:p>
    <w:p w14:paraId="74F1D46C" w14:textId="38CF64BC" w:rsidR="00AC3D0C" w:rsidRDefault="0036646A" w:rsidP="004A457F">
      <w:pPr>
        <w:spacing w:line="240" w:lineRule="auto"/>
        <w:jc w:val="both"/>
        <w:rPr>
          <w:b/>
          <w:bCs/>
          <w:szCs w:val="24"/>
        </w:rPr>
      </w:pPr>
      <w:r w:rsidRPr="008E3369">
        <w:rPr>
          <w:b/>
          <w:bCs/>
          <w:szCs w:val="24"/>
        </w:rPr>
        <w:t>Литература</w:t>
      </w:r>
    </w:p>
    <w:p w14:paraId="562345DE" w14:textId="7D73B3E6" w:rsidR="005353D5" w:rsidRPr="005353D5" w:rsidRDefault="005353D5" w:rsidP="005353D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</w:t>
      </w:r>
      <w:r w:rsidRPr="005353D5">
        <w:rPr>
          <w:szCs w:val="24"/>
        </w:rPr>
        <w:t xml:space="preserve">Григорьев А.А., </w:t>
      </w:r>
      <w:proofErr w:type="spellStart"/>
      <w:r w:rsidRPr="005353D5">
        <w:rPr>
          <w:szCs w:val="24"/>
        </w:rPr>
        <w:t>Лебедкова</w:t>
      </w:r>
      <w:proofErr w:type="spellEnd"/>
      <w:r w:rsidRPr="005353D5">
        <w:rPr>
          <w:szCs w:val="24"/>
        </w:rPr>
        <w:t xml:space="preserve"> С.М. Световые величины: учебное пособие по курсу «Основы светотехники». М.: Издательский дом МЭИ. 2013.</w:t>
      </w:r>
    </w:p>
    <w:p w14:paraId="223C39D4" w14:textId="14D27F51" w:rsidR="005353D5" w:rsidRPr="005353D5" w:rsidRDefault="005353D5" w:rsidP="005353D5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</w:t>
      </w:r>
      <w:r w:rsidRPr="005353D5">
        <w:rPr>
          <w:szCs w:val="24"/>
        </w:rPr>
        <w:t>ОСТ 1 00669-87. Оборудование авиационное внутрикабинное осветительное и светосигнальное. Методы измерения световых параметров. 1987.</w:t>
      </w:r>
    </w:p>
    <w:p w14:paraId="7B834E3B" w14:textId="2712CCCC" w:rsidR="005353D5" w:rsidRPr="005353D5" w:rsidRDefault="005353D5" w:rsidP="005353D5">
      <w:pPr>
        <w:spacing w:after="0" w:line="240" w:lineRule="auto"/>
        <w:jc w:val="both"/>
        <w:rPr>
          <w:szCs w:val="24"/>
        </w:rPr>
      </w:pPr>
      <w:r>
        <w:rPr>
          <w:szCs w:val="24"/>
        </w:rPr>
        <w:t>3.</w:t>
      </w:r>
      <w:r w:rsidRPr="005353D5">
        <w:rPr>
          <w:szCs w:val="24"/>
        </w:rPr>
        <w:t>ОСТ 1 00533-87. Система внутрикабинной световой сигнализации самолетов и вертолетов. Общие требования. 1987.</w:t>
      </w:r>
    </w:p>
    <w:p w14:paraId="775D33ED" w14:textId="29BF3A6C" w:rsidR="005353D5" w:rsidRPr="005353D5" w:rsidRDefault="005353D5" w:rsidP="005353D5">
      <w:pPr>
        <w:spacing w:after="0" w:line="240" w:lineRule="auto"/>
        <w:jc w:val="both"/>
        <w:rPr>
          <w:szCs w:val="24"/>
        </w:rPr>
      </w:pPr>
      <w:r>
        <w:rPr>
          <w:szCs w:val="24"/>
        </w:rPr>
        <w:t>4.</w:t>
      </w:r>
      <w:r w:rsidRPr="005353D5">
        <w:rPr>
          <w:szCs w:val="24"/>
        </w:rPr>
        <w:t>ОСТ 1 00345-87. Система отображения информации в кабинах экипажа. Общие эргономические требования. 1987.</w:t>
      </w:r>
    </w:p>
    <w:p w14:paraId="7FF4C4DB" w14:textId="59A5EC26" w:rsidR="00C0528A" w:rsidRPr="008E3369" w:rsidRDefault="005353D5" w:rsidP="00082B59">
      <w:pPr>
        <w:spacing w:after="0" w:line="240" w:lineRule="auto"/>
        <w:jc w:val="both"/>
        <w:rPr>
          <w:szCs w:val="24"/>
        </w:rPr>
      </w:pPr>
      <w:r>
        <w:rPr>
          <w:szCs w:val="24"/>
        </w:rPr>
        <w:t>5.</w:t>
      </w:r>
      <w:r w:rsidRPr="005353D5">
        <w:rPr>
          <w:szCs w:val="24"/>
        </w:rPr>
        <w:t>ОСТ 1 00415-2000. Освещение внутреннее самолетов и вертолётов. Нормы освещения. 2000.</w:t>
      </w:r>
    </w:p>
    <w:sectPr w:rsidR="00C0528A" w:rsidRPr="008E3369" w:rsidSect="00901FE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4514"/>
    <w:multiLevelType w:val="hybridMultilevel"/>
    <w:tmpl w:val="10224156"/>
    <w:lvl w:ilvl="0" w:tplc="7A2C8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2A"/>
    <w:rsid w:val="00045761"/>
    <w:rsid w:val="000827EC"/>
    <w:rsid w:val="00082B59"/>
    <w:rsid w:val="000A3E64"/>
    <w:rsid w:val="000A7CA2"/>
    <w:rsid w:val="000D4448"/>
    <w:rsid w:val="000F6727"/>
    <w:rsid w:val="001034FD"/>
    <w:rsid w:val="00116040"/>
    <w:rsid w:val="001547F2"/>
    <w:rsid w:val="001E1338"/>
    <w:rsid w:val="002072E9"/>
    <w:rsid w:val="00223B6D"/>
    <w:rsid w:val="002325F1"/>
    <w:rsid w:val="00234397"/>
    <w:rsid w:val="00261EC5"/>
    <w:rsid w:val="00285BFE"/>
    <w:rsid w:val="002C46A3"/>
    <w:rsid w:val="002C4DEE"/>
    <w:rsid w:val="002F020E"/>
    <w:rsid w:val="0030501A"/>
    <w:rsid w:val="0031303A"/>
    <w:rsid w:val="00340550"/>
    <w:rsid w:val="00345F3F"/>
    <w:rsid w:val="00360025"/>
    <w:rsid w:val="0036646A"/>
    <w:rsid w:val="003E18F8"/>
    <w:rsid w:val="003F05DC"/>
    <w:rsid w:val="00404AEF"/>
    <w:rsid w:val="00422B2A"/>
    <w:rsid w:val="004237B2"/>
    <w:rsid w:val="00427343"/>
    <w:rsid w:val="00433EA7"/>
    <w:rsid w:val="00454E52"/>
    <w:rsid w:val="004A457F"/>
    <w:rsid w:val="004B1D24"/>
    <w:rsid w:val="004B36AB"/>
    <w:rsid w:val="004D1DC2"/>
    <w:rsid w:val="004E0AC6"/>
    <w:rsid w:val="0052468F"/>
    <w:rsid w:val="00525172"/>
    <w:rsid w:val="00526922"/>
    <w:rsid w:val="005353D5"/>
    <w:rsid w:val="00543F4D"/>
    <w:rsid w:val="00553C66"/>
    <w:rsid w:val="00596550"/>
    <w:rsid w:val="005A05DA"/>
    <w:rsid w:val="005A1931"/>
    <w:rsid w:val="005B706D"/>
    <w:rsid w:val="0060704B"/>
    <w:rsid w:val="00642B4C"/>
    <w:rsid w:val="00650FC0"/>
    <w:rsid w:val="0065302A"/>
    <w:rsid w:val="006727CD"/>
    <w:rsid w:val="006A09FE"/>
    <w:rsid w:val="006E73FA"/>
    <w:rsid w:val="006F4ED9"/>
    <w:rsid w:val="00707BCF"/>
    <w:rsid w:val="007207DE"/>
    <w:rsid w:val="007256F9"/>
    <w:rsid w:val="00732755"/>
    <w:rsid w:val="00734C21"/>
    <w:rsid w:val="00771869"/>
    <w:rsid w:val="00773D11"/>
    <w:rsid w:val="00792D9C"/>
    <w:rsid w:val="007A4835"/>
    <w:rsid w:val="007A4ED4"/>
    <w:rsid w:val="007D657A"/>
    <w:rsid w:val="007E6E07"/>
    <w:rsid w:val="007F366D"/>
    <w:rsid w:val="008069E6"/>
    <w:rsid w:val="0083576D"/>
    <w:rsid w:val="00860F58"/>
    <w:rsid w:val="008645AE"/>
    <w:rsid w:val="0088378D"/>
    <w:rsid w:val="008A4EA0"/>
    <w:rsid w:val="008C27C3"/>
    <w:rsid w:val="008C4648"/>
    <w:rsid w:val="008E3369"/>
    <w:rsid w:val="008E7DB0"/>
    <w:rsid w:val="00901FEE"/>
    <w:rsid w:val="00915343"/>
    <w:rsid w:val="00934ABE"/>
    <w:rsid w:val="00935034"/>
    <w:rsid w:val="00957718"/>
    <w:rsid w:val="00957BFB"/>
    <w:rsid w:val="009678B3"/>
    <w:rsid w:val="009977B3"/>
    <w:rsid w:val="009C5066"/>
    <w:rsid w:val="009C6A6E"/>
    <w:rsid w:val="009D0FD7"/>
    <w:rsid w:val="009D33B6"/>
    <w:rsid w:val="009E05D5"/>
    <w:rsid w:val="009E63CA"/>
    <w:rsid w:val="00A054C4"/>
    <w:rsid w:val="00A51114"/>
    <w:rsid w:val="00A541AC"/>
    <w:rsid w:val="00A913D9"/>
    <w:rsid w:val="00AC0F03"/>
    <w:rsid w:val="00AC3D0C"/>
    <w:rsid w:val="00AC4E2E"/>
    <w:rsid w:val="00AE2D49"/>
    <w:rsid w:val="00B00047"/>
    <w:rsid w:val="00B133C1"/>
    <w:rsid w:val="00B20250"/>
    <w:rsid w:val="00B2027F"/>
    <w:rsid w:val="00B20C3D"/>
    <w:rsid w:val="00B22F95"/>
    <w:rsid w:val="00B31CD0"/>
    <w:rsid w:val="00B3779D"/>
    <w:rsid w:val="00B8774B"/>
    <w:rsid w:val="00B94F12"/>
    <w:rsid w:val="00BA6719"/>
    <w:rsid w:val="00BC281D"/>
    <w:rsid w:val="00BC7A22"/>
    <w:rsid w:val="00BD733A"/>
    <w:rsid w:val="00C0204D"/>
    <w:rsid w:val="00C0528A"/>
    <w:rsid w:val="00C062D9"/>
    <w:rsid w:val="00C6034F"/>
    <w:rsid w:val="00C76016"/>
    <w:rsid w:val="00C900CE"/>
    <w:rsid w:val="00CB3859"/>
    <w:rsid w:val="00CD7465"/>
    <w:rsid w:val="00CF0E4D"/>
    <w:rsid w:val="00CF2B50"/>
    <w:rsid w:val="00CF3EEE"/>
    <w:rsid w:val="00D37BEA"/>
    <w:rsid w:val="00D50E32"/>
    <w:rsid w:val="00D71D4B"/>
    <w:rsid w:val="00D966C7"/>
    <w:rsid w:val="00DF1403"/>
    <w:rsid w:val="00E319F1"/>
    <w:rsid w:val="00E41355"/>
    <w:rsid w:val="00E71270"/>
    <w:rsid w:val="00E92881"/>
    <w:rsid w:val="00EA15E4"/>
    <w:rsid w:val="00ED3AD9"/>
    <w:rsid w:val="00EF4001"/>
    <w:rsid w:val="00F108AC"/>
    <w:rsid w:val="00F117D4"/>
    <w:rsid w:val="00F40D16"/>
    <w:rsid w:val="00F433F1"/>
    <w:rsid w:val="00F56F3E"/>
    <w:rsid w:val="00F6166E"/>
    <w:rsid w:val="00F67C36"/>
    <w:rsid w:val="00F67E5C"/>
    <w:rsid w:val="00F93835"/>
    <w:rsid w:val="00FB16D0"/>
    <w:rsid w:val="00FB2A66"/>
    <w:rsid w:val="00FB6CDF"/>
    <w:rsid w:val="00FC0736"/>
    <w:rsid w:val="00FC2FDB"/>
    <w:rsid w:val="00FD57F1"/>
    <w:rsid w:val="00F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386B"/>
  <w15:chartTrackingRefBased/>
  <w15:docId w15:val="{FCCC5384-CF0E-4068-A005-905B6F06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3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2B2A"/>
    <w:rPr>
      <w:b/>
      <w:bCs/>
      <w:smallCaps/>
      <w:color w:val="2F5496" w:themeColor="accent1" w:themeShade="BF"/>
      <w:spacing w:val="5"/>
    </w:rPr>
  </w:style>
  <w:style w:type="character" w:customStyle="1" w:styleId="42">
    <w:name w:val="Заголовок №4 (2)"/>
    <w:basedOn w:val="a0"/>
    <w:rsid w:val="0088378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c">
    <w:name w:val="Таблицы"/>
    <w:basedOn w:val="a"/>
    <w:link w:val="ad"/>
    <w:qFormat/>
    <w:rsid w:val="008A4EA0"/>
    <w:pPr>
      <w:spacing w:after="120" w:line="288" w:lineRule="auto"/>
      <w:ind w:left="-57" w:right="-57"/>
      <w:jc w:val="center"/>
    </w:pPr>
    <w:rPr>
      <w:rFonts w:cs="Times New Roman"/>
      <w:kern w:val="0"/>
      <w:szCs w:val="24"/>
    </w:rPr>
  </w:style>
  <w:style w:type="character" w:customStyle="1" w:styleId="ad">
    <w:name w:val="Таблицы Знак"/>
    <w:basedOn w:val="a0"/>
    <w:link w:val="ac"/>
    <w:rsid w:val="008A4EA0"/>
    <w:rPr>
      <w:rFonts w:ascii="Times New Roman" w:hAnsi="Times New Roman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04576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5761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9C6A6E"/>
    <w:rPr>
      <w:color w:val="666666"/>
    </w:rPr>
  </w:style>
  <w:style w:type="table" w:styleId="af1">
    <w:name w:val="Table Grid"/>
    <w:basedOn w:val="a1"/>
    <w:uiPriority w:val="39"/>
    <w:rsid w:val="00C0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Марьин</dc:creator>
  <cp:keywords/>
  <dc:description/>
  <cp:lastModifiedBy>Михаил Марьин</cp:lastModifiedBy>
  <cp:revision>5</cp:revision>
  <cp:lastPrinted>2026-03-01T17:01:00Z</cp:lastPrinted>
  <dcterms:created xsi:type="dcterms:W3CDTF">2026-03-01T18:59:00Z</dcterms:created>
  <dcterms:modified xsi:type="dcterms:W3CDTF">2026-03-01T19:08:00Z</dcterms:modified>
</cp:coreProperties>
</file>