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8F6" w:rsidRPr="00722676" w:rsidRDefault="00A36117" w:rsidP="002127A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Мобильный многофункциональный датчик для контроля спектрального состава источников излучения</w:t>
      </w:r>
    </w:p>
    <w:p w:rsidR="00FE08F6" w:rsidRPr="0000059D" w:rsidRDefault="00FE08F6" w:rsidP="002127A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  <w:vertAlign w:val="superscript"/>
        </w:rPr>
      </w:pPr>
      <w:r w:rsidRPr="00722676">
        <w:rPr>
          <w:b/>
          <w:i/>
          <w:color w:val="000000"/>
        </w:rPr>
        <w:t>Новиков А.А.</w:t>
      </w:r>
      <w:r w:rsidR="001556D6">
        <w:rPr>
          <w:b/>
          <w:i/>
          <w:color w:val="000000"/>
          <w:vertAlign w:val="superscript"/>
        </w:rPr>
        <w:t>1</w:t>
      </w:r>
      <w:r w:rsidR="001556D6">
        <w:rPr>
          <w:b/>
          <w:i/>
          <w:color w:val="000000"/>
        </w:rPr>
        <w:t>, Созыкин Г.О.</w:t>
      </w:r>
      <w:r w:rsidR="001556D6">
        <w:rPr>
          <w:b/>
          <w:i/>
          <w:color w:val="000000"/>
          <w:vertAlign w:val="superscript"/>
        </w:rPr>
        <w:t>1</w:t>
      </w:r>
      <w:r w:rsidR="001556D6">
        <w:rPr>
          <w:b/>
          <w:i/>
          <w:color w:val="000000"/>
        </w:rPr>
        <w:t>, Буренкова Н.А.</w:t>
      </w:r>
      <w:r w:rsidR="001556D6">
        <w:rPr>
          <w:b/>
          <w:i/>
          <w:color w:val="000000"/>
          <w:vertAlign w:val="superscript"/>
        </w:rPr>
        <w:t>2</w:t>
      </w:r>
      <w:r w:rsidR="0000059D">
        <w:rPr>
          <w:b/>
          <w:i/>
          <w:color w:val="000000"/>
        </w:rPr>
        <w:t>, Маракасов М.Е.</w:t>
      </w:r>
      <w:r w:rsidR="0000059D">
        <w:rPr>
          <w:b/>
          <w:i/>
          <w:color w:val="000000"/>
          <w:vertAlign w:val="superscript"/>
        </w:rPr>
        <w:t>1</w:t>
      </w:r>
    </w:p>
    <w:p w:rsidR="00FE08F6" w:rsidRPr="00722676" w:rsidRDefault="00FE08F6" w:rsidP="002127A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722676">
        <w:rPr>
          <w:i/>
          <w:color w:val="000000"/>
        </w:rPr>
        <w:t>Студент,</w:t>
      </w:r>
      <w:r w:rsidR="0041597C">
        <w:rPr>
          <w:i/>
          <w:color w:val="000000"/>
        </w:rPr>
        <w:t xml:space="preserve"> аспирант, сотрудник</w:t>
      </w:r>
      <w:r w:rsidR="0000059D">
        <w:rPr>
          <w:i/>
          <w:color w:val="000000"/>
        </w:rPr>
        <w:t>, студент</w:t>
      </w:r>
    </w:p>
    <w:p w:rsidR="00FE08F6" w:rsidRDefault="003F0E38" w:rsidP="002127A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3F0E38">
        <w:rPr>
          <w:i/>
          <w:color w:val="000000"/>
          <w:vertAlign w:val="superscript"/>
        </w:rPr>
        <w:t>1</w:t>
      </w:r>
      <w:r w:rsidR="00FE08F6" w:rsidRPr="003F0E38">
        <w:rPr>
          <w:i/>
          <w:color w:val="000000"/>
        </w:rPr>
        <w:t>Санкт</w:t>
      </w:r>
      <w:r w:rsidR="00FE08F6" w:rsidRPr="00722676">
        <w:rPr>
          <w:i/>
          <w:color w:val="000000"/>
        </w:rPr>
        <w:t>-Петербургский политехнический университет Петра Великого,</w:t>
      </w:r>
      <w:r w:rsidR="00722676">
        <w:rPr>
          <w:i/>
          <w:color w:val="000000"/>
        </w:rPr>
        <w:t> </w:t>
      </w:r>
      <w:r w:rsidR="0041597C">
        <w:rPr>
          <w:i/>
          <w:color w:val="000000"/>
        </w:rPr>
        <w:t xml:space="preserve">Институт машиностроения, материалов и транспорта, </w:t>
      </w:r>
      <w:r w:rsidR="00722676">
        <w:rPr>
          <w:i/>
          <w:color w:val="000000"/>
        </w:rPr>
        <w:t>Санкт-</w:t>
      </w:r>
      <w:r w:rsidR="00FE08F6" w:rsidRPr="00722676">
        <w:rPr>
          <w:i/>
          <w:color w:val="000000"/>
        </w:rPr>
        <w:t>Петербург, Россия</w:t>
      </w:r>
    </w:p>
    <w:p w:rsidR="003F0E38" w:rsidRPr="00042403" w:rsidRDefault="00042403" w:rsidP="002127A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 w:rsidRPr="00042403">
        <w:rPr>
          <w:i/>
          <w:color w:val="000000"/>
        </w:rPr>
        <w:t>АО «Центральный научно-исследовательский институт «Электрон»</w:t>
      </w:r>
      <w:r w:rsidR="0041597C">
        <w:rPr>
          <w:i/>
          <w:color w:val="000000"/>
        </w:rPr>
        <w:t>, Санкт-Петербург, Россия</w:t>
      </w:r>
    </w:p>
    <w:p w:rsidR="00FE08F6" w:rsidRPr="0000059D" w:rsidRDefault="00FE08F6" w:rsidP="002127A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127AA">
        <w:rPr>
          <w:i/>
          <w:color w:val="000000"/>
          <w:lang w:val="en-US"/>
        </w:rPr>
        <w:t>E</w:t>
      </w:r>
      <w:r w:rsidRPr="0000059D">
        <w:rPr>
          <w:i/>
          <w:color w:val="000000"/>
        </w:rPr>
        <w:t>-</w:t>
      </w:r>
      <w:r w:rsidRPr="002127AA">
        <w:rPr>
          <w:i/>
          <w:color w:val="000000"/>
          <w:lang w:val="en-US"/>
        </w:rPr>
        <w:t>mail</w:t>
      </w:r>
      <w:r w:rsidRPr="0000059D">
        <w:rPr>
          <w:i/>
          <w:color w:val="000000"/>
        </w:rPr>
        <w:t xml:space="preserve">: </w:t>
      </w:r>
      <w:hyperlink r:id="rId5" w:history="1">
        <w:r w:rsidRPr="00722676">
          <w:rPr>
            <w:rStyle w:val="a5"/>
            <w:i/>
            <w:lang w:val="en-US"/>
          </w:rPr>
          <w:t>aanovikov</w:t>
        </w:r>
        <w:r w:rsidRPr="0000059D">
          <w:rPr>
            <w:rStyle w:val="a5"/>
            <w:i/>
          </w:rPr>
          <w:t>2004@</w:t>
        </w:r>
        <w:r w:rsidRPr="00722676">
          <w:rPr>
            <w:rStyle w:val="a5"/>
            <w:i/>
            <w:lang w:val="en-US"/>
          </w:rPr>
          <w:t>yandex</w:t>
        </w:r>
        <w:r w:rsidRPr="0000059D">
          <w:rPr>
            <w:rStyle w:val="a5"/>
            <w:i/>
          </w:rPr>
          <w:t>.</w:t>
        </w:r>
        <w:proofErr w:type="spellStart"/>
        <w:r w:rsidRPr="00722676">
          <w:rPr>
            <w:rStyle w:val="a5"/>
            <w:i/>
            <w:lang w:val="en-US"/>
          </w:rPr>
          <w:t>ru</w:t>
        </w:r>
        <w:proofErr w:type="spellEnd"/>
      </w:hyperlink>
    </w:p>
    <w:p w:rsidR="00FE08F6" w:rsidRPr="0000059D" w:rsidRDefault="00FE08F6" w:rsidP="002127A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rPr>
          <w:color w:val="000000"/>
        </w:rPr>
      </w:pPr>
      <w:bookmarkStart w:id="0" w:name="_GoBack"/>
      <w:bookmarkEnd w:id="0"/>
    </w:p>
    <w:p w:rsidR="00091D2B" w:rsidRPr="00722676" w:rsidRDefault="00091D2B" w:rsidP="002127AA">
      <w:r w:rsidRPr="00722676">
        <w:t>Большую опасность для зрения человека представляют мощные источники излучения, в которых нарушено соотношение между спектральным распределением мощности или присутствует большая мощность излучения в фиол</w:t>
      </w:r>
      <w:r w:rsidR="000C7B85" w:rsidRPr="00722676">
        <w:t xml:space="preserve">етово-синем диапазоне длин волн. </w:t>
      </w:r>
      <w:r w:rsidR="009020FE" w:rsidRPr="00722676">
        <w:t>Нарушение пропорций в спектральном составе особенно при длительном воздействии сказывается на зрительных функциях: избыток синего и фиолетов</w:t>
      </w:r>
      <w:r w:rsidR="003F4C2F" w:rsidRPr="00722676">
        <w:t>ого света в диапазоне 390 – 450 </w:t>
      </w:r>
      <w:proofErr w:type="spellStart"/>
      <w:r w:rsidR="009020FE" w:rsidRPr="00722676">
        <w:t>нм</w:t>
      </w:r>
      <w:proofErr w:type="spellEnd"/>
      <w:r w:rsidR="009020FE" w:rsidRPr="00722676">
        <w:t xml:space="preserve"> оказывает негативное воздействие на роговицу и сетчатку глаза</w:t>
      </w:r>
      <w:r w:rsidR="002127AA">
        <w:t> </w:t>
      </w:r>
      <w:r w:rsidR="00722676">
        <w:t>[1</w:t>
      </w:r>
      <w:r w:rsidR="009020FE" w:rsidRPr="00722676">
        <w:t xml:space="preserve">]. В таком свете ресничная мышца, которая управляет хрусталиком, находится в повышенном напряжении. </w:t>
      </w:r>
    </w:p>
    <w:p w:rsidR="009020FE" w:rsidRPr="00722676" w:rsidRDefault="009020FE" w:rsidP="002127AA">
      <w:r w:rsidRPr="00722676">
        <w:t>Фильтрация синего света приведет к искажению формирования глазом контрастного</w:t>
      </w:r>
      <w:r w:rsidR="002127AA">
        <w:t xml:space="preserve"> </w:t>
      </w:r>
      <w:r w:rsidR="002127AA" w:rsidRPr="00F5503A">
        <w:t>изображения – глаз, как и любая видеосистема (например, телевизор),</w:t>
      </w:r>
      <w:r w:rsidR="002127AA" w:rsidRPr="00594306">
        <w:rPr>
          <w:sz w:val="28"/>
          <w:szCs w:val="28"/>
        </w:rPr>
        <w:t xml:space="preserve"> </w:t>
      </w:r>
      <w:r w:rsidR="002127AA" w:rsidRPr="00F5503A">
        <w:t>работает в режиме RGB)</w:t>
      </w:r>
      <w:r w:rsidR="002127AA">
        <w:t> </w:t>
      </w:r>
      <w:r w:rsidR="00722676">
        <w:t>[2</w:t>
      </w:r>
      <w:r w:rsidR="003F4C2F" w:rsidRPr="00722676">
        <w:t>, </w:t>
      </w:r>
      <w:r w:rsidR="00722676">
        <w:t>3</w:t>
      </w:r>
      <w:r w:rsidRPr="00722676">
        <w:t xml:space="preserve">]. </w:t>
      </w:r>
      <w:r w:rsidR="00091D2B" w:rsidRPr="00722676">
        <w:t>К</w:t>
      </w:r>
      <w:r w:rsidRPr="00722676">
        <w:t>райне важно для сохранения функциональных способностей зрительных органов как можно дольше осуществлять контроль спектрального состава излучения в месте, где это необходимо</w:t>
      </w:r>
      <w:r w:rsidR="00091D2B" w:rsidRPr="00722676">
        <w:t>, причем как фиолетово-синего диапазона, так и красного</w:t>
      </w:r>
      <w:r w:rsidRPr="00722676">
        <w:t>.</w:t>
      </w:r>
    </w:p>
    <w:p w:rsidR="009020FE" w:rsidRPr="00722676" w:rsidRDefault="00091D2B" w:rsidP="002127AA">
      <w:pPr>
        <w:rPr>
          <w:bCs/>
        </w:rPr>
      </w:pPr>
      <w:r w:rsidRPr="00722676">
        <w:t>П</w:t>
      </w:r>
      <w:r w:rsidR="009020FE" w:rsidRPr="00722676">
        <w:t xml:space="preserve">ромышленные </w:t>
      </w:r>
      <w:r w:rsidR="009020FE" w:rsidRPr="00722676">
        <w:rPr>
          <w:bCs/>
        </w:rPr>
        <w:t xml:space="preserve">мобильные спектрометры работают в различных диапазонах от 350 до 800 </w:t>
      </w:r>
      <w:proofErr w:type="spellStart"/>
      <w:r w:rsidR="009020FE" w:rsidRPr="00722676">
        <w:rPr>
          <w:bCs/>
        </w:rPr>
        <w:t>нм</w:t>
      </w:r>
      <w:proofErr w:type="spellEnd"/>
      <w:r w:rsidR="009020FE" w:rsidRPr="00722676">
        <w:rPr>
          <w:bCs/>
        </w:rPr>
        <w:t>.</w:t>
      </w:r>
      <w:r w:rsidR="009020FE" w:rsidRPr="00722676">
        <w:rPr>
          <w:b/>
        </w:rPr>
        <w:t xml:space="preserve"> </w:t>
      </w:r>
      <w:r w:rsidR="009020FE" w:rsidRPr="00722676">
        <w:rPr>
          <w:bCs/>
        </w:rPr>
        <w:t xml:space="preserve">Данного диапазона недостаточно для контроля освещения от различных типов источников (не захватывается часть </w:t>
      </w:r>
      <w:proofErr w:type="spellStart"/>
      <w:r w:rsidR="009020FE" w:rsidRPr="00722676">
        <w:rPr>
          <w:bCs/>
        </w:rPr>
        <w:t>БИКа</w:t>
      </w:r>
      <w:proofErr w:type="spellEnd"/>
      <w:r w:rsidR="009020FE" w:rsidRPr="00722676">
        <w:rPr>
          <w:bCs/>
        </w:rPr>
        <w:t>). При этом данные приборы обладают высокой чувствительностью к излучению (для его регистрации используется матричный фотоприемник). В случае большой мощности изл</w:t>
      </w:r>
      <w:r w:rsidR="003F4C2F" w:rsidRPr="00722676">
        <w:rPr>
          <w:bCs/>
        </w:rPr>
        <w:t xml:space="preserve">учения данный элемент сгорает, </w:t>
      </w:r>
      <w:r w:rsidR="009020FE" w:rsidRPr="00722676">
        <w:rPr>
          <w:bCs/>
        </w:rPr>
        <w:t>и спектрометр прекращает работу. В ряде случаев сгорает и электроника (особенно если есть большая мощность в БИК диапазоне, который прибор почти не видит), так как</w:t>
      </w:r>
      <w:r w:rsidR="002F6E7D">
        <w:rPr>
          <w:bCs/>
        </w:rPr>
        <w:t> – </w:t>
      </w:r>
      <w:r w:rsidR="009020FE" w:rsidRPr="00722676">
        <w:rPr>
          <w:bCs/>
        </w:rPr>
        <w:t>режим насыщения</w:t>
      </w:r>
      <w:r w:rsidR="00722676">
        <w:rPr>
          <w:bCs/>
        </w:rPr>
        <w:t xml:space="preserve"> [4</w:t>
      </w:r>
      <w:r w:rsidR="003F4C2F" w:rsidRPr="00722676">
        <w:rPr>
          <w:bCs/>
        </w:rPr>
        <w:t>, </w:t>
      </w:r>
      <w:r w:rsidR="00722676">
        <w:rPr>
          <w:bCs/>
        </w:rPr>
        <w:t>5</w:t>
      </w:r>
      <w:r w:rsidR="009020FE" w:rsidRPr="00722676">
        <w:rPr>
          <w:bCs/>
        </w:rPr>
        <w:t xml:space="preserve">]. Блокировки при высокой чувствительности </w:t>
      </w:r>
      <w:proofErr w:type="spellStart"/>
      <w:r w:rsidR="009020FE" w:rsidRPr="00722676">
        <w:rPr>
          <w:bCs/>
        </w:rPr>
        <w:t>фотоприемных</w:t>
      </w:r>
      <w:proofErr w:type="spellEnd"/>
      <w:r w:rsidR="009020FE" w:rsidRPr="00722676">
        <w:rPr>
          <w:bCs/>
        </w:rPr>
        <w:t xml:space="preserve"> устройств в мобильном исполнении прибора реализовать крайне сложно</w:t>
      </w:r>
      <w:r w:rsidR="00722676">
        <w:rPr>
          <w:bCs/>
        </w:rPr>
        <w:t xml:space="preserve"> [6</w:t>
      </w:r>
      <w:r w:rsidR="003F4C2F" w:rsidRPr="00722676">
        <w:rPr>
          <w:bCs/>
        </w:rPr>
        <w:t>, </w:t>
      </w:r>
      <w:r w:rsidR="00722676">
        <w:rPr>
          <w:bCs/>
        </w:rPr>
        <w:t>7</w:t>
      </w:r>
      <w:r w:rsidR="009020FE" w:rsidRPr="00722676">
        <w:rPr>
          <w:bCs/>
        </w:rPr>
        <w:t>].</w:t>
      </w:r>
    </w:p>
    <w:p w:rsidR="009020FE" w:rsidRPr="00722676" w:rsidRDefault="00091D2B" w:rsidP="002127AA">
      <w:pPr>
        <w:rPr>
          <w:bCs/>
        </w:rPr>
      </w:pPr>
      <w:r w:rsidRPr="00722676">
        <w:rPr>
          <w:bCs/>
        </w:rPr>
        <w:t>Ц</w:t>
      </w:r>
      <w:r w:rsidR="009020FE" w:rsidRPr="00722676">
        <w:rPr>
          <w:bCs/>
        </w:rPr>
        <w:t>елью</w:t>
      </w:r>
      <w:r w:rsidRPr="00722676">
        <w:rPr>
          <w:bCs/>
        </w:rPr>
        <w:t xml:space="preserve"> </w:t>
      </w:r>
      <w:r w:rsidR="009020FE" w:rsidRPr="00722676">
        <w:rPr>
          <w:bCs/>
        </w:rPr>
        <w:t xml:space="preserve">работы </w:t>
      </w:r>
      <w:r w:rsidRPr="00722676">
        <w:rPr>
          <w:bCs/>
        </w:rPr>
        <w:t>стала</w:t>
      </w:r>
      <w:r w:rsidR="009020FE" w:rsidRPr="00722676">
        <w:rPr>
          <w:bCs/>
        </w:rPr>
        <w:t xml:space="preserve"> разработка мобильных датчиков для контроля состава и мощности и</w:t>
      </w:r>
      <w:r w:rsidRPr="00722676">
        <w:rPr>
          <w:bCs/>
        </w:rPr>
        <w:t>злучения с погрешностью менее 2</w:t>
      </w:r>
      <w:r w:rsidR="009020FE" w:rsidRPr="00722676">
        <w:rPr>
          <w:bCs/>
        </w:rPr>
        <w:t>% в диа</w:t>
      </w:r>
      <w:r w:rsidR="003F4C2F" w:rsidRPr="00722676">
        <w:rPr>
          <w:bCs/>
        </w:rPr>
        <w:t>пазоне длин волн от 300 до 1100 </w:t>
      </w:r>
      <w:proofErr w:type="spellStart"/>
      <w:r w:rsidR="009020FE" w:rsidRPr="00722676">
        <w:rPr>
          <w:bCs/>
        </w:rPr>
        <w:t>нм</w:t>
      </w:r>
      <w:proofErr w:type="spellEnd"/>
      <w:r w:rsidR="009020FE" w:rsidRPr="00722676">
        <w:rPr>
          <w:bCs/>
        </w:rPr>
        <w:t>, устойчивых к перегрузкам мощным излучением.</w:t>
      </w:r>
    </w:p>
    <w:p w:rsidR="00A638CC" w:rsidRPr="00722676" w:rsidRDefault="00A638CC" w:rsidP="002127AA">
      <w:pPr>
        <w:rPr>
          <w:spacing w:val="-1"/>
          <w:lang w:eastAsia="x-none"/>
        </w:rPr>
      </w:pPr>
      <w:r w:rsidRPr="00722676">
        <w:t xml:space="preserve">В разработанной конструкции используется кремниевый фотодиод </w:t>
      </w:r>
      <w:r w:rsidRPr="00722676">
        <w:rPr>
          <w:spacing w:val="-1"/>
          <w:lang w:eastAsia="x-none"/>
        </w:rPr>
        <w:t>с полосой регистрации от 350 до 1100 </w:t>
      </w:r>
      <w:proofErr w:type="spellStart"/>
      <w:r w:rsidRPr="00722676">
        <w:rPr>
          <w:spacing w:val="-1"/>
          <w:lang w:eastAsia="x-none"/>
        </w:rPr>
        <w:t>нм</w:t>
      </w:r>
      <w:proofErr w:type="spellEnd"/>
      <w:r w:rsidRPr="00722676">
        <w:t xml:space="preserve">, устойчивый к мощному излучению в широком спектральном диапазоне. При излучении большой мощности </w:t>
      </w:r>
      <w:proofErr w:type="spellStart"/>
      <w:r w:rsidRPr="00722676">
        <w:t>фотоприёмный</w:t>
      </w:r>
      <w:proofErr w:type="spellEnd"/>
      <w:r w:rsidRPr="00722676">
        <w:t xml:space="preserve"> элемент входит в насыщение, и пользователь успевает убрать </w:t>
      </w:r>
      <w:proofErr w:type="spellStart"/>
      <w:r w:rsidRPr="00722676">
        <w:t>фотоприёмный</w:t>
      </w:r>
      <w:proofErr w:type="spellEnd"/>
      <w:r w:rsidRPr="00722676">
        <w:t xml:space="preserve"> датчик из активной области воздействия излучения. </w:t>
      </w:r>
      <w:r w:rsidRPr="00722676">
        <w:rPr>
          <w:spacing w:val="-1"/>
          <w:lang w:eastAsia="x-none"/>
        </w:rPr>
        <w:t xml:space="preserve">Новым техническим решением в датчике является использование для регистрации излучения двух фотодиодов. Регистрация тока с каждого из фотодиодов позволяет установить пропорцию между мощностями излучения исследуемого диапазона. </w:t>
      </w:r>
      <w:r w:rsidRPr="00722676">
        <w:t>Для определения спектрального состава излучения используется разработанный нами набор сменных малогабаритных фильтров с диапазоном от 10 до 20 </w:t>
      </w:r>
      <w:proofErr w:type="spellStart"/>
      <w:r w:rsidRPr="00722676">
        <w:t>нм</w:t>
      </w:r>
      <w:proofErr w:type="spellEnd"/>
      <w:r w:rsidRPr="00722676">
        <w:t xml:space="preserve"> в зависимости от регистрируемой длины волны спектра. Это обеспечивает определение спектрального состава излучения и мощности спектральных составляющих из УФ-диапазона, включая ближний ИК-диапазон.</w:t>
      </w:r>
      <w:r w:rsidRPr="00722676">
        <w:rPr>
          <w:spacing w:val="-1"/>
          <w:lang w:eastAsia="x-none"/>
        </w:rPr>
        <w:t xml:space="preserve"> </w:t>
      </w:r>
    </w:p>
    <w:p w:rsidR="009020FE" w:rsidRPr="00722676" w:rsidRDefault="009020FE" w:rsidP="002127AA">
      <w:r w:rsidRPr="00722676">
        <w:t>Предусмотренные в конструкции пазы для установки фильтров мо</w:t>
      </w:r>
      <w:r w:rsidR="00A638CC" w:rsidRPr="00722676">
        <w:t>гут</w:t>
      </w:r>
      <w:r w:rsidRPr="00722676">
        <w:t xml:space="preserve"> использовать</w:t>
      </w:r>
      <w:r w:rsidR="00A638CC" w:rsidRPr="00722676">
        <w:t>ся</w:t>
      </w:r>
      <w:r w:rsidRPr="00722676">
        <w:t xml:space="preserve"> для размещения оптических аттенюаторов, что позволит сохранять ресурс фотодиода, резко снижа</w:t>
      </w:r>
      <w:r w:rsidR="000C7B85" w:rsidRPr="00722676">
        <w:t>ющийся</w:t>
      </w:r>
      <w:r w:rsidRPr="00722676">
        <w:t xml:space="preserve"> при воздействии на него мощного излучения (диод входит в режим насыщения с перегревом). Наличие аттенюаторов позволит при измерениях выбрать угол </w:t>
      </w:r>
      <w:r w:rsidRPr="00722676">
        <w:lastRenderedPageBreak/>
        <w:t>воздействия излучения на фотодиоды (без их начальной перегрузки), в котором можно проводить измерения.</w:t>
      </w:r>
    </w:p>
    <w:p w:rsidR="00A638CC" w:rsidRPr="00722676" w:rsidRDefault="00A638CC" w:rsidP="002127AA">
      <w:pPr>
        <w:rPr>
          <w:b/>
        </w:rPr>
      </w:pPr>
      <w:r w:rsidRPr="00722676">
        <w:t xml:space="preserve">Проведённые экспериментальные исследования подтвердили работоспособность </w:t>
      </w:r>
      <w:r w:rsidR="00722676">
        <w:t>разработанного</w:t>
      </w:r>
      <w:r w:rsidRPr="00722676">
        <w:t xml:space="preserve"> прибора.</w:t>
      </w:r>
    </w:p>
    <w:p w:rsidR="00FE08F6" w:rsidRPr="00722676" w:rsidRDefault="00FE08F6" w:rsidP="002127AA">
      <w:pPr>
        <w:spacing w:after="160" w:line="259" w:lineRule="auto"/>
        <w:jc w:val="center"/>
        <w:rPr>
          <w:color w:val="000000"/>
        </w:rPr>
      </w:pPr>
      <w:r w:rsidRPr="00722676">
        <w:rPr>
          <w:b/>
          <w:color w:val="000000"/>
        </w:rPr>
        <w:t>Литература</w:t>
      </w:r>
    </w:p>
    <w:p w:rsidR="00B10457" w:rsidRPr="00B10457" w:rsidRDefault="00722676" w:rsidP="002127AA">
      <w:pPr>
        <w:pStyle w:val="a3"/>
        <w:numPr>
          <w:ilvl w:val="0"/>
          <w:numId w:val="5"/>
        </w:numPr>
        <w:ind w:left="0" w:hanging="283"/>
        <w:rPr>
          <w:rStyle w:val="typography-modulelvnit"/>
        </w:rPr>
      </w:pPr>
      <w:r w:rsidRPr="00B10457">
        <w:rPr>
          <w:rStyle w:val="typography-modulelvnit"/>
          <w:color w:val="2E2E2E"/>
          <w:shd w:val="clear" w:color="auto" w:fill="FFFFFF"/>
          <w:lang w:val="en-US"/>
        </w:rPr>
        <w:t xml:space="preserve">B. Yang, </w:t>
      </w:r>
      <w:r w:rsidRPr="00B10457">
        <w:rPr>
          <w:bdr w:val="none" w:sz="0" w:space="0" w:color="auto" w:frame="1"/>
          <w:lang w:val="en-US"/>
        </w:rPr>
        <w:t xml:space="preserve">and et. al. </w:t>
      </w:r>
      <w:r w:rsidRPr="00A36117">
        <w:rPr>
          <w:bdr w:val="none" w:sz="0" w:space="0" w:color="auto" w:frame="1"/>
          <w:lang w:val="en-US"/>
        </w:rPr>
        <w:t>“</w:t>
      </w:r>
      <w:hyperlink r:id="rId6" w:history="1">
        <w:r w:rsidRPr="00A36117">
          <w:rPr>
            <w:rStyle w:val="typography-modulelvnit"/>
            <w:shd w:val="clear" w:color="auto" w:fill="FFFFFF"/>
            <w:lang w:val="en-US"/>
          </w:rPr>
          <w:t xml:space="preserve">Exposure of A2E to blue light promotes </w:t>
        </w:r>
        <w:proofErr w:type="spellStart"/>
        <w:r w:rsidRPr="00A36117">
          <w:rPr>
            <w:rStyle w:val="typography-modulelvnit"/>
            <w:shd w:val="clear" w:color="auto" w:fill="FFFFFF"/>
            <w:lang w:val="en-US"/>
          </w:rPr>
          <w:t>ferroptosis</w:t>
        </w:r>
        <w:proofErr w:type="spellEnd"/>
        <w:r w:rsidRPr="00A36117">
          <w:rPr>
            <w:rStyle w:val="typography-modulelvnit"/>
            <w:shd w:val="clear" w:color="auto" w:fill="FFFFFF"/>
            <w:lang w:val="en-US"/>
          </w:rPr>
          <w:t xml:space="preserve"> in the retinal pigment epithelium</w:t>
        </w:r>
      </w:hyperlink>
      <w:r w:rsidRPr="00A36117">
        <w:rPr>
          <w:lang w:val="en-US"/>
        </w:rPr>
        <w:t xml:space="preserve">,” </w:t>
      </w:r>
      <w:hyperlink r:id="rId7" w:tooltip="Посмотреть сведения о документе" w:history="1">
        <w:r w:rsidRPr="00A36117">
          <w:rPr>
            <w:rStyle w:val="typography-modulelvnit"/>
            <w:bdr w:val="none" w:sz="0" w:space="0" w:color="auto" w:frame="1"/>
            <w:shd w:val="clear" w:color="auto" w:fill="FFFFFF"/>
            <w:lang w:val="en-US"/>
          </w:rPr>
          <w:t>Cellular and Molecular Biology Letters</w:t>
        </w:r>
      </w:hyperlink>
      <w:r w:rsidRPr="00A36117">
        <w:rPr>
          <w:shd w:val="clear" w:color="auto" w:fill="FFFFFF"/>
          <w:lang w:val="en-US"/>
        </w:rPr>
        <w:t xml:space="preserve">, vol. </w:t>
      </w:r>
      <w:r w:rsidRPr="00A36117">
        <w:rPr>
          <w:rStyle w:val="typography-modulelvnit"/>
          <w:shd w:val="clear" w:color="auto" w:fill="FFFFFF"/>
          <w:lang w:val="en-US"/>
        </w:rPr>
        <w:t xml:space="preserve">30(1), pp. 22. </w:t>
      </w:r>
      <w:proofErr w:type="spellStart"/>
      <w:r w:rsidRPr="00B10457">
        <w:rPr>
          <w:shd w:val="clear" w:color="auto" w:fill="FFFFFF"/>
        </w:rPr>
        <w:t>January</w:t>
      </w:r>
      <w:proofErr w:type="spellEnd"/>
      <w:r w:rsidRPr="00B10457">
        <w:rPr>
          <w:rStyle w:val="typography-modulelvnit"/>
          <w:shd w:val="clear" w:color="auto" w:fill="FFFFFF"/>
        </w:rPr>
        <w:t xml:space="preserve"> 2025. </w:t>
      </w:r>
    </w:p>
    <w:p w:rsidR="00B10457" w:rsidRPr="00B10457" w:rsidRDefault="00722676" w:rsidP="002127AA">
      <w:pPr>
        <w:pStyle w:val="a3"/>
        <w:numPr>
          <w:ilvl w:val="0"/>
          <w:numId w:val="5"/>
        </w:numPr>
        <w:ind w:left="0" w:hanging="283"/>
        <w:rPr>
          <w:rStyle w:val="typography-modulelvnit"/>
        </w:rPr>
      </w:pPr>
      <w:r w:rsidRPr="00B10457">
        <w:rPr>
          <w:rStyle w:val="typography-modulelvnit"/>
          <w:color w:val="2E2E2E"/>
          <w:shd w:val="clear" w:color="auto" w:fill="FFFFFF"/>
          <w:lang w:val="en-US"/>
        </w:rPr>
        <w:t xml:space="preserve">L. </w:t>
      </w:r>
      <w:proofErr w:type="spellStart"/>
      <w:r w:rsidRPr="00B10457">
        <w:rPr>
          <w:rStyle w:val="typography-modulelvnit"/>
          <w:color w:val="2E2E2E"/>
          <w:shd w:val="clear" w:color="auto" w:fill="FFFFFF"/>
          <w:lang w:val="en-US"/>
        </w:rPr>
        <w:t>Kivelä</w:t>
      </w:r>
      <w:proofErr w:type="spellEnd"/>
      <w:r w:rsidRPr="00B10457">
        <w:rPr>
          <w:rStyle w:val="typography-modulelvnit"/>
          <w:color w:val="2E2E2E"/>
          <w:shd w:val="clear" w:color="auto" w:fill="FFFFFF"/>
          <w:lang w:val="en-US"/>
        </w:rPr>
        <w:t xml:space="preserve">, </w:t>
      </w:r>
      <w:r w:rsidRPr="00B10457">
        <w:rPr>
          <w:bdr w:val="none" w:sz="0" w:space="0" w:color="auto" w:frame="1"/>
          <w:lang w:val="en-US"/>
        </w:rPr>
        <w:t xml:space="preserve">and et. al. </w:t>
      </w:r>
      <w:r w:rsidRPr="00A36117">
        <w:rPr>
          <w:bdr w:val="none" w:sz="0" w:space="0" w:color="auto" w:frame="1"/>
          <w:lang w:val="en-US"/>
        </w:rPr>
        <w:t>“</w:t>
      </w:r>
      <w:hyperlink r:id="rId8" w:history="1">
        <w:r w:rsidRPr="00A36117">
          <w:rPr>
            <w:rStyle w:val="typography-modulelvnit"/>
            <w:shd w:val="clear" w:color="auto" w:fill="FFFFFF"/>
            <w:lang w:val="en-US"/>
          </w:rPr>
          <w:t xml:space="preserve">Mitigating the light pollution problem via spectral adjustment: color-biased </w:t>
        </w:r>
        <w:proofErr w:type="spellStart"/>
        <w:r w:rsidRPr="00A36117">
          <w:rPr>
            <w:rStyle w:val="typography-modulelvnit"/>
            <w:shd w:val="clear" w:color="auto" w:fill="FFFFFF"/>
            <w:lang w:val="en-US"/>
          </w:rPr>
          <w:t>phototaxis</w:t>
        </w:r>
        <w:proofErr w:type="spellEnd"/>
        <w:r w:rsidRPr="00A36117">
          <w:rPr>
            <w:rStyle w:val="typography-modulelvnit"/>
            <w:shd w:val="clear" w:color="auto" w:fill="FFFFFF"/>
            <w:lang w:val="en-US"/>
          </w:rPr>
          <w:t xml:space="preserve"> in male glow-worms</w:t>
        </w:r>
      </w:hyperlink>
      <w:r w:rsidRPr="00A36117">
        <w:rPr>
          <w:lang w:val="en-US"/>
        </w:rPr>
        <w:t xml:space="preserve">,” </w:t>
      </w:r>
      <w:hyperlink r:id="rId9" w:tooltip="Посмотреть сведения о документе" w:history="1">
        <w:proofErr w:type="spellStart"/>
        <w:r w:rsidRPr="00A36117">
          <w:rPr>
            <w:rStyle w:val="typography-modulelvnit"/>
            <w:bdr w:val="none" w:sz="0" w:space="0" w:color="auto" w:frame="1"/>
            <w:shd w:val="clear" w:color="auto" w:fill="FFFFFF"/>
            <w:lang w:val="en-US"/>
          </w:rPr>
          <w:t>Oecologia</w:t>
        </w:r>
        <w:proofErr w:type="spellEnd"/>
      </w:hyperlink>
      <w:r w:rsidRPr="00A36117">
        <w:rPr>
          <w:shd w:val="clear" w:color="auto" w:fill="FFFFFF"/>
          <w:lang w:val="en-US"/>
        </w:rPr>
        <w:t xml:space="preserve">, vol. </w:t>
      </w:r>
      <w:r w:rsidRPr="00A36117">
        <w:rPr>
          <w:rStyle w:val="typography-modulelvnit"/>
          <w:shd w:val="clear" w:color="auto" w:fill="FFFFFF"/>
          <w:lang w:val="en-US"/>
        </w:rPr>
        <w:t xml:space="preserve">207(8), pp. 133. </w:t>
      </w:r>
      <w:proofErr w:type="spellStart"/>
      <w:r w:rsidRPr="00B10457">
        <w:rPr>
          <w:rStyle w:val="typography-modulelvnit"/>
          <w:shd w:val="clear" w:color="auto" w:fill="FFFFFF"/>
        </w:rPr>
        <w:t>August</w:t>
      </w:r>
      <w:proofErr w:type="spellEnd"/>
      <w:r w:rsidRPr="00B10457">
        <w:rPr>
          <w:rStyle w:val="typography-modulelvnit"/>
          <w:shd w:val="clear" w:color="auto" w:fill="FFFFFF"/>
        </w:rPr>
        <w:t xml:space="preserve"> 2025.</w:t>
      </w:r>
    </w:p>
    <w:p w:rsidR="00B10457" w:rsidRPr="00B10457" w:rsidRDefault="00722676" w:rsidP="002127AA">
      <w:pPr>
        <w:pStyle w:val="a3"/>
        <w:numPr>
          <w:ilvl w:val="0"/>
          <w:numId w:val="5"/>
        </w:numPr>
        <w:ind w:left="0" w:hanging="283"/>
        <w:rPr>
          <w:rStyle w:val="typography-modulelvnit"/>
        </w:rPr>
      </w:pPr>
      <w:r w:rsidRPr="00B10457">
        <w:rPr>
          <w:rStyle w:val="typography-modulelvnit"/>
          <w:color w:val="2E2E2E"/>
          <w:shd w:val="clear" w:color="auto" w:fill="FFFFFF"/>
          <w:lang w:val="en-US"/>
        </w:rPr>
        <w:t xml:space="preserve">V. </w:t>
      </w:r>
      <w:proofErr w:type="spellStart"/>
      <w:r w:rsidRPr="00B10457">
        <w:rPr>
          <w:rStyle w:val="typography-modulelvnit"/>
          <w:color w:val="2E2E2E"/>
          <w:shd w:val="clear" w:color="auto" w:fill="FFFFFF"/>
          <w:lang w:val="en-US"/>
        </w:rPr>
        <w:t>Dyumin</w:t>
      </w:r>
      <w:proofErr w:type="spellEnd"/>
      <w:r w:rsidRPr="00B10457">
        <w:rPr>
          <w:rStyle w:val="typography-modulelvnit"/>
          <w:color w:val="2E2E2E"/>
          <w:shd w:val="clear" w:color="auto" w:fill="FFFFFF"/>
          <w:lang w:val="en-US"/>
        </w:rPr>
        <w:t xml:space="preserve">, </w:t>
      </w:r>
      <w:r w:rsidRPr="00B10457">
        <w:rPr>
          <w:bdr w:val="none" w:sz="0" w:space="0" w:color="auto" w:frame="1"/>
          <w:lang w:val="en-US"/>
        </w:rPr>
        <w:t xml:space="preserve">and et. al. </w:t>
      </w:r>
      <w:r w:rsidRPr="00A36117">
        <w:rPr>
          <w:bdr w:val="none" w:sz="0" w:space="0" w:color="auto" w:frame="1"/>
          <w:lang w:val="en-US"/>
        </w:rPr>
        <w:t>“</w:t>
      </w:r>
      <w:hyperlink r:id="rId10" w:history="1">
        <w:r w:rsidRPr="00A36117">
          <w:rPr>
            <w:rStyle w:val="typography-modulelvnit"/>
            <w:shd w:val="clear" w:color="auto" w:fill="FFFFFF"/>
            <w:lang w:val="en-US"/>
          </w:rPr>
          <w:t>Charge-coupled Device with Integrated Electron Multiplication for Low Light Level Imaging</w:t>
        </w:r>
      </w:hyperlink>
      <w:r w:rsidRPr="00A36117">
        <w:rPr>
          <w:lang w:val="en-US"/>
        </w:rPr>
        <w:t xml:space="preserve">,” </w:t>
      </w:r>
      <w:hyperlink r:id="rId11" w:history="1">
        <w:r w:rsidRPr="00A36117">
          <w:rPr>
            <w:rStyle w:val="typography-modulelvnit"/>
            <w:bdr w:val="none" w:sz="0" w:space="0" w:color="auto" w:frame="1"/>
            <w:shd w:val="clear" w:color="auto" w:fill="FFFFFF"/>
            <w:lang w:val="en-US"/>
          </w:rPr>
          <w:t xml:space="preserve">Proceedings of the 2019 IEEE International Conference on Electrical Engineering and Photonics </w:t>
        </w:r>
        <w:proofErr w:type="spellStart"/>
        <w:r w:rsidRPr="00A36117">
          <w:rPr>
            <w:rStyle w:val="typography-modulelvnit"/>
            <w:bdr w:val="none" w:sz="0" w:space="0" w:color="auto" w:frame="1"/>
            <w:shd w:val="clear" w:color="auto" w:fill="FFFFFF"/>
            <w:lang w:val="en-US"/>
          </w:rPr>
          <w:t>Eexpolytech</w:t>
        </w:r>
        <w:proofErr w:type="spellEnd"/>
        <w:r w:rsidRPr="00A36117">
          <w:rPr>
            <w:rStyle w:val="typography-modulelvnit"/>
            <w:bdr w:val="none" w:sz="0" w:space="0" w:color="auto" w:frame="1"/>
            <w:shd w:val="clear" w:color="auto" w:fill="FFFFFF"/>
            <w:lang w:val="en-US"/>
          </w:rPr>
          <w:t xml:space="preserve"> 2019 </w:t>
        </w:r>
      </w:hyperlink>
      <w:r w:rsidRPr="00A36117">
        <w:rPr>
          <w:rStyle w:val="typography-modulelvnit"/>
          <w:shd w:val="clear" w:color="auto" w:fill="FFFFFF"/>
          <w:lang w:val="en-US"/>
        </w:rPr>
        <w:t xml:space="preserve">, vol. 8906868, pp. 308–310. </w:t>
      </w:r>
      <w:proofErr w:type="spellStart"/>
      <w:r w:rsidRPr="00B10457">
        <w:rPr>
          <w:rStyle w:val="typography-modulelvnit"/>
          <w:shd w:val="clear" w:color="auto" w:fill="FFFFFF"/>
        </w:rPr>
        <w:t>October</w:t>
      </w:r>
      <w:proofErr w:type="spellEnd"/>
      <w:r w:rsidRPr="00B10457">
        <w:rPr>
          <w:rStyle w:val="typography-modulelvnit"/>
          <w:shd w:val="clear" w:color="auto" w:fill="FFFFFF"/>
        </w:rPr>
        <w:t xml:space="preserve"> 2019. </w:t>
      </w:r>
    </w:p>
    <w:p w:rsidR="00B10457" w:rsidRPr="00B10457" w:rsidRDefault="00722676" w:rsidP="002127AA">
      <w:pPr>
        <w:pStyle w:val="a3"/>
        <w:numPr>
          <w:ilvl w:val="0"/>
          <w:numId w:val="5"/>
        </w:numPr>
        <w:ind w:left="0" w:hanging="283"/>
        <w:rPr>
          <w:rStyle w:val="typography-modulelvnit"/>
        </w:rPr>
      </w:pPr>
      <w:r w:rsidRPr="00B10457">
        <w:rPr>
          <w:rStyle w:val="typography-modulelvnit"/>
          <w:color w:val="2E2E2E"/>
          <w:shd w:val="clear" w:color="auto" w:fill="FFFFFF"/>
          <w:lang w:val="en-US"/>
        </w:rPr>
        <w:t xml:space="preserve">K. J. Smirnov, </w:t>
      </w:r>
      <w:r w:rsidRPr="00B10457">
        <w:rPr>
          <w:bdr w:val="none" w:sz="0" w:space="0" w:color="auto" w:frame="1"/>
          <w:lang w:val="en-US"/>
        </w:rPr>
        <w:t xml:space="preserve">and et. al. </w:t>
      </w:r>
      <w:r w:rsidRPr="00A36117">
        <w:rPr>
          <w:bdr w:val="none" w:sz="0" w:space="0" w:color="auto" w:frame="1"/>
          <w:lang w:val="en-US"/>
        </w:rPr>
        <w:t>“</w:t>
      </w:r>
      <w:hyperlink r:id="rId12" w:history="1">
        <w:r w:rsidRPr="00A36117">
          <w:rPr>
            <w:rStyle w:val="typography-modulelvnit"/>
            <w:shd w:val="clear" w:color="auto" w:fill="FFFFFF"/>
            <w:lang w:val="en-US"/>
          </w:rPr>
          <w:t xml:space="preserve">Temperature investigations of </w:t>
        </w:r>
        <w:proofErr w:type="spellStart"/>
        <w:r w:rsidRPr="00A36117">
          <w:rPr>
            <w:rStyle w:val="typography-modulelvnit"/>
            <w:shd w:val="clear" w:color="auto" w:fill="FFFFFF"/>
            <w:lang w:val="en-US"/>
          </w:rPr>
          <w:t>inp</w:t>
        </w:r>
        <w:proofErr w:type="spellEnd"/>
        <w:r w:rsidRPr="00A36117">
          <w:rPr>
            <w:rStyle w:val="typography-modulelvnit"/>
            <w:shd w:val="clear" w:color="auto" w:fill="FFFFFF"/>
            <w:lang w:val="en-US"/>
          </w:rPr>
          <w:t>/</w:t>
        </w:r>
        <w:proofErr w:type="spellStart"/>
        <w:r w:rsidRPr="00A36117">
          <w:rPr>
            <w:rStyle w:val="typography-modulelvnit"/>
            <w:shd w:val="clear" w:color="auto" w:fill="FFFFFF"/>
            <w:lang w:val="en-US"/>
          </w:rPr>
          <w:t>ingaas</w:t>
        </w:r>
        <w:proofErr w:type="spellEnd"/>
        <w:r w:rsidRPr="00A36117">
          <w:rPr>
            <w:rStyle w:val="typography-modulelvnit"/>
            <w:shd w:val="clear" w:color="auto" w:fill="FFFFFF"/>
            <w:lang w:val="en-US"/>
          </w:rPr>
          <w:t xml:space="preserve"> based photocathodes</w:t>
        </w:r>
      </w:hyperlink>
      <w:r w:rsidRPr="00A36117">
        <w:rPr>
          <w:lang w:val="en-US"/>
        </w:rPr>
        <w:t xml:space="preserve">,” </w:t>
      </w:r>
      <w:hyperlink r:id="rId13" w:history="1">
        <w:r w:rsidRPr="00A36117">
          <w:rPr>
            <w:rStyle w:val="typography-modulelvnit"/>
            <w:bdr w:val="none" w:sz="0" w:space="0" w:color="auto" w:frame="1"/>
            <w:shd w:val="clear" w:color="auto" w:fill="FFFFFF"/>
            <w:lang w:val="en-US"/>
          </w:rPr>
          <w:t xml:space="preserve">Proceedings of the 2018 IEEE International Conference on Electrical Engineering and Photonics </w:t>
        </w:r>
        <w:proofErr w:type="spellStart"/>
        <w:r w:rsidRPr="00A36117">
          <w:rPr>
            <w:rStyle w:val="typography-modulelvnit"/>
            <w:bdr w:val="none" w:sz="0" w:space="0" w:color="auto" w:frame="1"/>
            <w:shd w:val="clear" w:color="auto" w:fill="FFFFFF"/>
            <w:lang w:val="en-US"/>
          </w:rPr>
          <w:t>Eexpolytech</w:t>
        </w:r>
        <w:proofErr w:type="spellEnd"/>
        <w:r w:rsidRPr="00A36117">
          <w:rPr>
            <w:rStyle w:val="typography-modulelvnit"/>
            <w:bdr w:val="none" w:sz="0" w:space="0" w:color="auto" w:frame="1"/>
            <w:shd w:val="clear" w:color="auto" w:fill="FFFFFF"/>
            <w:lang w:val="en-US"/>
          </w:rPr>
          <w:t xml:space="preserve"> 2018</w:t>
        </w:r>
      </w:hyperlink>
      <w:r w:rsidRPr="00A36117">
        <w:rPr>
          <w:rStyle w:val="typography-modulelvnit"/>
          <w:shd w:val="clear" w:color="auto" w:fill="FFFFFF"/>
          <w:lang w:val="en-US"/>
        </w:rPr>
        <w:t xml:space="preserve">, vol. 8564416, pp. 209–211. </w:t>
      </w:r>
      <w:proofErr w:type="spellStart"/>
      <w:r w:rsidRPr="00B10457">
        <w:rPr>
          <w:rStyle w:val="typography-modulelvnit"/>
          <w:shd w:val="clear" w:color="auto" w:fill="FFFFFF"/>
        </w:rPr>
        <w:t>October</w:t>
      </w:r>
      <w:proofErr w:type="spellEnd"/>
      <w:r w:rsidRPr="00B10457">
        <w:rPr>
          <w:rStyle w:val="typography-modulelvnit"/>
          <w:shd w:val="clear" w:color="auto" w:fill="FFFFFF"/>
        </w:rPr>
        <w:t xml:space="preserve"> 2018.</w:t>
      </w:r>
    </w:p>
    <w:p w:rsidR="00B10457" w:rsidRPr="00B10457" w:rsidRDefault="00722676" w:rsidP="002127AA">
      <w:pPr>
        <w:pStyle w:val="a3"/>
        <w:numPr>
          <w:ilvl w:val="0"/>
          <w:numId w:val="5"/>
        </w:numPr>
        <w:ind w:left="0" w:hanging="283"/>
        <w:rPr>
          <w:rStyle w:val="typography-modulelvnit"/>
        </w:rPr>
      </w:pPr>
      <w:r w:rsidRPr="00B10457">
        <w:rPr>
          <w:rStyle w:val="typography-modulelvnit"/>
          <w:shd w:val="clear" w:color="auto" w:fill="FFFFFF"/>
          <w:lang w:val="en-US"/>
        </w:rPr>
        <w:t xml:space="preserve">V. V. </w:t>
      </w:r>
      <w:proofErr w:type="spellStart"/>
      <w:r w:rsidRPr="00B10457">
        <w:rPr>
          <w:rStyle w:val="typography-modulelvnit"/>
          <w:color w:val="2E2E2E"/>
          <w:shd w:val="clear" w:color="auto" w:fill="FFFFFF"/>
          <w:lang w:val="en-US"/>
        </w:rPr>
        <w:t>Davydov</w:t>
      </w:r>
      <w:proofErr w:type="spellEnd"/>
      <w:r w:rsidRPr="00B10457">
        <w:rPr>
          <w:rStyle w:val="typography-modulelvnit"/>
          <w:color w:val="2E2E2E"/>
          <w:shd w:val="clear" w:color="auto" w:fill="FFFFFF"/>
          <w:lang w:val="en-US"/>
        </w:rPr>
        <w:t>,</w:t>
      </w:r>
      <w:r w:rsidRPr="00B10457">
        <w:rPr>
          <w:bdr w:val="none" w:sz="0" w:space="0" w:color="auto" w:frame="1"/>
          <w:lang w:val="en-US"/>
        </w:rPr>
        <w:t xml:space="preserve"> and et. al. </w:t>
      </w:r>
      <w:r w:rsidRPr="00A36117">
        <w:rPr>
          <w:bdr w:val="none" w:sz="0" w:space="0" w:color="auto" w:frame="1"/>
          <w:lang w:val="en-US"/>
        </w:rPr>
        <w:t>“</w:t>
      </w:r>
      <w:hyperlink r:id="rId14" w:history="1">
        <w:r w:rsidRPr="00A36117">
          <w:rPr>
            <w:rStyle w:val="typography-modulelvnit"/>
            <w:shd w:val="clear" w:color="auto" w:fill="FFFFFF"/>
            <w:lang w:val="en-US"/>
          </w:rPr>
          <w:t>An Optical Method of Monitoring the State of Flowing Media with Low Transparency That Contain Large Inclusions</w:t>
        </w:r>
      </w:hyperlink>
      <w:r w:rsidRPr="00A36117">
        <w:rPr>
          <w:lang w:val="en-US"/>
        </w:rPr>
        <w:t xml:space="preserve">,” </w:t>
      </w:r>
      <w:hyperlink r:id="rId15" w:history="1">
        <w:r w:rsidRPr="00A36117">
          <w:rPr>
            <w:rStyle w:val="typography-modulelvnit"/>
            <w:bdr w:val="none" w:sz="0" w:space="0" w:color="auto" w:frame="1"/>
            <w:shd w:val="clear" w:color="auto" w:fill="FFFFFF"/>
            <w:lang w:val="en-US"/>
          </w:rPr>
          <w:t>Measurement Techniques</w:t>
        </w:r>
      </w:hyperlink>
      <w:r w:rsidRPr="00A36117">
        <w:rPr>
          <w:rStyle w:val="typography-modulelvnit"/>
          <w:shd w:val="clear" w:color="auto" w:fill="FFFFFF"/>
          <w:lang w:val="en-US"/>
        </w:rPr>
        <w:t xml:space="preserve">, vol. 62(6), pp. 519–526. </w:t>
      </w:r>
      <w:proofErr w:type="spellStart"/>
      <w:r w:rsidRPr="00B10457">
        <w:rPr>
          <w:rStyle w:val="typography-modulelvnit"/>
          <w:shd w:val="clear" w:color="auto" w:fill="FFFFFF"/>
        </w:rPr>
        <w:t>June</w:t>
      </w:r>
      <w:proofErr w:type="spellEnd"/>
      <w:r w:rsidRPr="00B10457">
        <w:rPr>
          <w:rStyle w:val="typography-modulelvnit"/>
          <w:shd w:val="clear" w:color="auto" w:fill="FFFFFF"/>
        </w:rPr>
        <w:t xml:space="preserve"> 2019. </w:t>
      </w:r>
    </w:p>
    <w:p w:rsidR="00B10457" w:rsidRPr="00B10457" w:rsidRDefault="00722676" w:rsidP="002127AA">
      <w:pPr>
        <w:pStyle w:val="a3"/>
        <w:numPr>
          <w:ilvl w:val="0"/>
          <w:numId w:val="5"/>
        </w:numPr>
        <w:ind w:left="0" w:hanging="283"/>
        <w:rPr>
          <w:rStyle w:val="typography-modulelvnit"/>
        </w:rPr>
      </w:pPr>
      <w:r w:rsidRPr="00B10457">
        <w:rPr>
          <w:rStyle w:val="typography-modulelvnit"/>
          <w:color w:val="2E2E2E"/>
          <w:shd w:val="clear" w:color="auto" w:fill="FFFFFF"/>
          <w:lang w:val="en-US"/>
        </w:rPr>
        <w:t xml:space="preserve">M. R. </w:t>
      </w:r>
      <w:proofErr w:type="spellStart"/>
      <w:r w:rsidRPr="00B10457">
        <w:rPr>
          <w:rStyle w:val="typography-modulelvnit"/>
          <w:color w:val="2E2E2E"/>
          <w:shd w:val="clear" w:color="auto" w:fill="FFFFFF"/>
          <w:lang w:val="en-US"/>
        </w:rPr>
        <w:t>Ainbund</w:t>
      </w:r>
      <w:proofErr w:type="spellEnd"/>
      <w:r w:rsidRPr="00B10457">
        <w:rPr>
          <w:rStyle w:val="typography-modulelvnit"/>
          <w:color w:val="2E2E2E"/>
          <w:shd w:val="clear" w:color="auto" w:fill="FFFFFF"/>
          <w:lang w:val="en-US"/>
        </w:rPr>
        <w:t xml:space="preserve">, </w:t>
      </w:r>
      <w:r w:rsidRPr="00B10457">
        <w:rPr>
          <w:bdr w:val="none" w:sz="0" w:space="0" w:color="auto" w:frame="1"/>
          <w:lang w:val="en-US"/>
        </w:rPr>
        <w:t xml:space="preserve">and et. al. </w:t>
      </w:r>
      <w:r w:rsidRPr="00A36117">
        <w:rPr>
          <w:bdr w:val="none" w:sz="0" w:space="0" w:color="auto" w:frame="1"/>
          <w:lang w:val="en-US"/>
        </w:rPr>
        <w:t>“</w:t>
      </w:r>
      <w:hyperlink r:id="rId16" w:history="1">
        <w:r w:rsidRPr="00A36117">
          <w:rPr>
            <w:rStyle w:val="typography-modulelvnit"/>
            <w:shd w:val="clear" w:color="auto" w:fill="FFFFFF"/>
            <w:lang w:val="en-US"/>
          </w:rPr>
          <w:t xml:space="preserve">Hybrid multi-channel photodetector for 1-1.6 </w:t>
        </w:r>
        <w:r w:rsidRPr="00B10457">
          <w:rPr>
            <w:rStyle w:val="typography-modulelvnit"/>
            <w:shd w:val="clear" w:color="auto" w:fill="FFFFFF"/>
          </w:rPr>
          <w:t>μ</w:t>
        </w:r>
        <w:r w:rsidRPr="00A36117">
          <w:rPr>
            <w:rStyle w:val="typography-modulelvnit"/>
            <w:shd w:val="clear" w:color="auto" w:fill="FFFFFF"/>
            <w:lang w:val="en-US"/>
          </w:rPr>
          <w:t>m spectral range</w:t>
        </w:r>
      </w:hyperlink>
      <w:r w:rsidRPr="00A36117">
        <w:rPr>
          <w:lang w:val="en-US"/>
        </w:rPr>
        <w:t xml:space="preserve">,” </w:t>
      </w:r>
      <w:hyperlink r:id="rId17" w:history="1">
        <w:r w:rsidRPr="00A36117">
          <w:rPr>
            <w:rStyle w:val="typography-modulelvnit"/>
            <w:bdr w:val="none" w:sz="0" w:space="0" w:color="auto" w:frame="1"/>
            <w:shd w:val="clear" w:color="auto" w:fill="FFFFFF"/>
            <w:lang w:val="en-US"/>
          </w:rPr>
          <w:t>Applied Physics</w:t>
        </w:r>
      </w:hyperlink>
      <w:r w:rsidRPr="00A36117">
        <w:rPr>
          <w:rStyle w:val="typography-modulelvnit"/>
          <w:shd w:val="clear" w:color="auto" w:fill="FFFFFF"/>
          <w:lang w:val="en-US"/>
        </w:rPr>
        <w:t xml:space="preserve">, vol. 2018(6), pp. 54–59. </w:t>
      </w:r>
      <w:proofErr w:type="spellStart"/>
      <w:r w:rsidRPr="00B10457">
        <w:rPr>
          <w:rStyle w:val="typography-modulelvnit"/>
          <w:shd w:val="clear" w:color="auto" w:fill="FFFFFF"/>
        </w:rPr>
        <w:t>June</w:t>
      </w:r>
      <w:proofErr w:type="spellEnd"/>
      <w:r w:rsidRPr="00B10457">
        <w:rPr>
          <w:rStyle w:val="typography-modulelvnit"/>
          <w:shd w:val="clear" w:color="auto" w:fill="FFFFFF"/>
        </w:rPr>
        <w:t xml:space="preserve"> 2018.</w:t>
      </w:r>
    </w:p>
    <w:p w:rsidR="00722676" w:rsidRPr="00B10457" w:rsidRDefault="00722676" w:rsidP="002127AA">
      <w:pPr>
        <w:pStyle w:val="a3"/>
        <w:numPr>
          <w:ilvl w:val="0"/>
          <w:numId w:val="5"/>
        </w:numPr>
        <w:ind w:left="0" w:hanging="283"/>
        <w:rPr>
          <w:rStyle w:val="typography-modulelvnit"/>
        </w:rPr>
      </w:pPr>
      <w:r w:rsidRPr="00B10457">
        <w:rPr>
          <w:rStyle w:val="typography-modulelvnit"/>
          <w:color w:val="2E2E2E"/>
          <w:shd w:val="clear" w:color="auto" w:fill="FFFFFF"/>
          <w:lang w:val="en-US"/>
        </w:rPr>
        <w:t>A. E. Zhukov,</w:t>
      </w:r>
      <w:r w:rsidRPr="00B10457">
        <w:rPr>
          <w:bdr w:val="none" w:sz="0" w:space="0" w:color="auto" w:frame="1"/>
          <w:lang w:val="en-US"/>
        </w:rPr>
        <w:t xml:space="preserve"> and et. al. </w:t>
      </w:r>
      <w:r w:rsidRPr="00A36117">
        <w:rPr>
          <w:bdr w:val="none" w:sz="0" w:space="0" w:color="auto" w:frame="1"/>
          <w:lang w:val="en-US"/>
        </w:rPr>
        <w:t>“</w:t>
      </w:r>
      <w:hyperlink r:id="rId18" w:history="1">
        <w:r w:rsidRPr="00A36117">
          <w:rPr>
            <w:rStyle w:val="typography-modulelvnit"/>
            <w:shd w:val="clear" w:color="auto" w:fill="FFFFFF"/>
            <w:lang w:val="en-US"/>
          </w:rPr>
          <w:t>Model for Speed Performance of Quantum-Dot Waveguide Photodiode</w:t>
        </w:r>
      </w:hyperlink>
      <w:r w:rsidRPr="00A36117">
        <w:rPr>
          <w:lang w:val="en-US"/>
        </w:rPr>
        <w:t xml:space="preserve">,” </w:t>
      </w:r>
      <w:hyperlink r:id="rId19" w:history="1">
        <w:r w:rsidRPr="00A36117">
          <w:rPr>
            <w:rStyle w:val="typography-modulelvnit"/>
            <w:bdr w:val="none" w:sz="0" w:space="0" w:color="auto" w:frame="1"/>
            <w:shd w:val="clear" w:color="auto" w:fill="FFFFFF"/>
            <w:lang w:val="en-US"/>
          </w:rPr>
          <w:t>Semiconductors</w:t>
        </w:r>
      </w:hyperlink>
      <w:r w:rsidRPr="00A36117">
        <w:rPr>
          <w:rStyle w:val="typography-modulelvnit"/>
          <w:shd w:val="clear" w:color="auto" w:fill="FFFFFF"/>
          <w:lang w:val="en-US"/>
        </w:rPr>
        <w:t xml:space="preserve">, vol. 57(13), pp. 632–637.  </w:t>
      </w:r>
      <w:proofErr w:type="spellStart"/>
      <w:r w:rsidRPr="00B10457">
        <w:rPr>
          <w:rStyle w:val="typography-modulelvnit"/>
          <w:shd w:val="clear" w:color="auto" w:fill="FFFFFF"/>
        </w:rPr>
        <w:t>July</w:t>
      </w:r>
      <w:proofErr w:type="spellEnd"/>
      <w:r w:rsidRPr="00B10457">
        <w:rPr>
          <w:rStyle w:val="typography-modulelvnit"/>
          <w:shd w:val="clear" w:color="auto" w:fill="FFFFFF"/>
        </w:rPr>
        <w:t xml:space="preserve"> 2023.</w:t>
      </w:r>
    </w:p>
    <w:p w:rsidR="00B477AD" w:rsidRPr="00982E06" w:rsidRDefault="00B477AD" w:rsidP="002127AA">
      <w:pPr>
        <w:pStyle w:val="references"/>
        <w:numPr>
          <w:ilvl w:val="0"/>
          <w:numId w:val="0"/>
        </w:numPr>
      </w:pPr>
    </w:p>
    <w:sectPr w:rsidR="00B477AD" w:rsidRPr="00982E06" w:rsidSect="002127AA">
      <w:pgSz w:w="11906" w:h="16838"/>
      <w:pgMar w:top="1134" w:right="1361" w:bottom="1259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53B71"/>
    <w:multiLevelType w:val="hybridMultilevel"/>
    <w:tmpl w:val="39C809F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189603E"/>
    <w:multiLevelType w:val="multilevel"/>
    <w:tmpl w:val="0AB06E12"/>
    <w:lvl w:ilvl="0">
      <w:start w:val="1"/>
      <w:numFmt w:val="upperRoman"/>
      <w:pStyle w:val="1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4"/>
      <w:lvlText w:val="%4)"/>
      <w:lvlJc w:val="left"/>
      <w:pPr>
        <w:tabs>
          <w:tab w:val="num" w:pos="63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2" w15:restartNumberingAfterBreak="0">
    <w:nsid w:val="52CA544A"/>
    <w:multiLevelType w:val="singleLevel"/>
    <w:tmpl w:val="AED6D67E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3" w15:restartNumberingAfterBreak="0">
    <w:nsid w:val="56250E66"/>
    <w:multiLevelType w:val="hybridMultilevel"/>
    <w:tmpl w:val="32345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402C58"/>
    <w:multiLevelType w:val="hybridMultilevel"/>
    <w:tmpl w:val="9A1CA078"/>
    <w:lvl w:ilvl="0" w:tplc="C8D6570A">
      <w:start w:val="1"/>
      <w:numFmt w:val="decimal"/>
      <w:pStyle w:val="figurecaption"/>
      <w:lvlText w:val="Fig. 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8F6"/>
    <w:rsid w:val="0000059D"/>
    <w:rsid w:val="00042403"/>
    <w:rsid w:val="00091D2B"/>
    <w:rsid w:val="000C7B85"/>
    <w:rsid w:val="0015312F"/>
    <w:rsid w:val="001556D6"/>
    <w:rsid w:val="002127AA"/>
    <w:rsid w:val="002F6E7D"/>
    <w:rsid w:val="003F0E38"/>
    <w:rsid w:val="003F4C2F"/>
    <w:rsid w:val="00405F90"/>
    <w:rsid w:val="0041597C"/>
    <w:rsid w:val="005635AF"/>
    <w:rsid w:val="00722676"/>
    <w:rsid w:val="007263D0"/>
    <w:rsid w:val="009020FE"/>
    <w:rsid w:val="00956B5D"/>
    <w:rsid w:val="00982E06"/>
    <w:rsid w:val="00A36117"/>
    <w:rsid w:val="00A638CC"/>
    <w:rsid w:val="00B10457"/>
    <w:rsid w:val="00B477AD"/>
    <w:rsid w:val="00FE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8A59"/>
  <w15:chartTrackingRefBased/>
  <w15:docId w15:val="{35EEB618-9ED3-43A1-B87F-8B9ED9569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7AA"/>
    <w:pPr>
      <w:spacing w:after="0" w:line="240" w:lineRule="auto"/>
      <w:ind w:firstLine="39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020FE"/>
    <w:pPr>
      <w:keepNext/>
      <w:keepLines/>
      <w:numPr>
        <w:numId w:val="3"/>
      </w:numPr>
      <w:tabs>
        <w:tab w:val="left" w:pos="216"/>
      </w:tabs>
      <w:spacing w:before="160" w:after="80"/>
      <w:ind w:firstLine="0"/>
      <w:jc w:val="center"/>
      <w:outlineLvl w:val="0"/>
    </w:pPr>
    <w:rPr>
      <w:rFonts w:eastAsia="SimSun"/>
      <w:smallCaps/>
      <w:noProof/>
      <w:sz w:val="20"/>
      <w:szCs w:val="20"/>
      <w:lang w:val="en-US" w:eastAsia="en-US"/>
    </w:rPr>
  </w:style>
  <w:style w:type="paragraph" w:styleId="2">
    <w:name w:val="heading 2"/>
    <w:basedOn w:val="a"/>
    <w:next w:val="a"/>
    <w:link w:val="20"/>
    <w:qFormat/>
    <w:rsid w:val="009020FE"/>
    <w:pPr>
      <w:keepNext/>
      <w:keepLines/>
      <w:numPr>
        <w:ilvl w:val="1"/>
        <w:numId w:val="3"/>
      </w:numPr>
      <w:tabs>
        <w:tab w:val="clear" w:pos="360"/>
        <w:tab w:val="num" w:pos="288"/>
      </w:tabs>
      <w:spacing w:before="120" w:after="60"/>
      <w:outlineLvl w:val="1"/>
    </w:pPr>
    <w:rPr>
      <w:rFonts w:eastAsia="SimSun"/>
      <w:i/>
      <w:iCs/>
      <w:noProof/>
      <w:sz w:val="20"/>
      <w:szCs w:val="20"/>
      <w:lang w:val="en-US" w:eastAsia="en-US"/>
    </w:rPr>
  </w:style>
  <w:style w:type="paragraph" w:styleId="3">
    <w:name w:val="heading 3"/>
    <w:basedOn w:val="a"/>
    <w:next w:val="a"/>
    <w:link w:val="30"/>
    <w:qFormat/>
    <w:rsid w:val="009020FE"/>
    <w:pPr>
      <w:numPr>
        <w:ilvl w:val="2"/>
        <w:numId w:val="3"/>
      </w:numPr>
      <w:spacing w:line="240" w:lineRule="exact"/>
      <w:ind w:firstLine="288"/>
      <w:outlineLvl w:val="2"/>
    </w:pPr>
    <w:rPr>
      <w:rFonts w:eastAsia="SimSun"/>
      <w:i/>
      <w:iCs/>
      <w:noProof/>
      <w:sz w:val="20"/>
      <w:szCs w:val="20"/>
      <w:lang w:val="en-US" w:eastAsia="en-US"/>
    </w:rPr>
  </w:style>
  <w:style w:type="paragraph" w:styleId="4">
    <w:name w:val="heading 4"/>
    <w:basedOn w:val="a"/>
    <w:next w:val="a"/>
    <w:link w:val="40"/>
    <w:uiPriority w:val="9"/>
    <w:qFormat/>
    <w:rsid w:val="009020FE"/>
    <w:pPr>
      <w:numPr>
        <w:ilvl w:val="3"/>
        <w:numId w:val="3"/>
      </w:numPr>
      <w:tabs>
        <w:tab w:val="clear" w:pos="630"/>
        <w:tab w:val="left" w:pos="720"/>
      </w:tabs>
      <w:spacing w:before="40" w:after="40"/>
      <w:ind w:firstLine="504"/>
      <w:outlineLvl w:val="3"/>
    </w:pPr>
    <w:rPr>
      <w:rFonts w:eastAsia="SimSun"/>
      <w:i/>
      <w:iCs/>
      <w:noProof/>
      <w:sz w:val="20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E08F6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locked/>
    <w:rsid w:val="00FE08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E08F6"/>
    <w:rPr>
      <w:color w:val="0563C1" w:themeColor="hyperlink"/>
      <w:u w:val="single"/>
    </w:rPr>
  </w:style>
  <w:style w:type="paragraph" w:customStyle="1" w:styleId="figurecaption">
    <w:name w:val="figure caption"/>
    <w:rsid w:val="009020FE"/>
    <w:pPr>
      <w:numPr>
        <w:numId w:val="2"/>
      </w:numPr>
      <w:tabs>
        <w:tab w:val="left" w:pos="533"/>
      </w:tabs>
      <w:spacing w:before="80" w:after="200" w:line="240" w:lineRule="auto"/>
      <w:jc w:val="both"/>
    </w:pPr>
    <w:rPr>
      <w:rFonts w:ascii="Times New Roman" w:eastAsia="SimSun" w:hAnsi="Times New Roman" w:cs="Times New Roman"/>
      <w:noProof/>
      <w:sz w:val="16"/>
      <w:szCs w:val="16"/>
      <w:lang w:val="en-US"/>
    </w:rPr>
  </w:style>
  <w:style w:type="character" w:customStyle="1" w:styleId="10">
    <w:name w:val="Заголовок 1 Знак"/>
    <w:basedOn w:val="a0"/>
    <w:link w:val="1"/>
    <w:rsid w:val="009020FE"/>
    <w:rPr>
      <w:rFonts w:ascii="Times New Roman" w:eastAsia="SimSun" w:hAnsi="Times New Roman" w:cs="Times New Roman"/>
      <w:smallCaps/>
      <w:noProof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rsid w:val="009020FE"/>
    <w:rPr>
      <w:rFonts w:ascii="Times New Roman" w:eastAsia="SimSun" w:hAnsi="Times New Roman" w:cs="Times New Roman"/>
      <w:i/>
      <w:iCs/>
      <w:noProof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rsid w:val="009020FE"/>
    <w:rPr>
      <w:rFonts w:ascii="Times New Roman" w:eastAsia="SimSun" w:hAnsi="Times New Roman" w:cs="Times New Roman"/>
      <w:i/>
      <w:iCs/>
      <w:noProof/>
      <w:sz w:val="20"/>
      <w:szCs w:val="20"/>
      <w:lang w:val="en-US"/>
    </w:rPr>
  </w:style>
  <w:style w:type="character" w:customStyle="1" w:styleId="40">
    <w:name w:val="Заголовок 4 Знак"/>
    <w:basedOn w:val="a0"/>
    <w:link w:val="4"/>
    <w:uiPriority w:val="9"/>
    <w:rsid w:val="009020FE"/>
    <w:rPr>
      <w:rFonts w:ascii="Times New Roman" w:eastAsia="SimSun" w:hAnsi="Times New Roman" w:cs="Times New Roman"/>
      <w:i/>
      <w:iCs/>
      <w:noProof/>
      <w:sz w:val="20"/>
      <w:szCs w:val="20"/>
      <w:lang w:val="en-US"/>
    </w:rPr>
  </w:style>
  <w:style w:type="paragraph" w:styleId="a6">
    <w:name w:val="Normal (Web)"/>
    <w:basedOn w:val="a"/>
    <w:uiPriority w:val="99"/>
    <w:unhideWhenUsed/>
    <w:rsid w:val="009020FE"/>
    <w:pPr>
      <w:spacing w:before="100" w:beforeAutospacing="1" w:after="100" w:afterAutospacing="1"/>
    </w:pPr>
  </w:style>
  <w:style w:type="paragraph" w:customStyle="1" w:styleId="Abstract">
    <w:name w:val="Abstract"/>
    <w:rsid w:val="00A638CC"/>
    <w:pPr>
      <w:spacing w:after="200" w:line="240" w:lineRule="auto"/>
      <w:ind w:firstLine="272"/>
      <w:jc w:val="both"/>
    </w:pPr>
    <w:rPr>
      <w:rFonts w:ascii="Times New Roman" w:eastAsia="SimSun" w:hAnsi="Times New Roman" w:cs="Times New Roman"/>
      <w:b/>
      <w:bCs/>
      <w:sz w:val="18"/>
      <w:szCs w:val="18"/>
      <w:lang w:val="en-US"/>
    </w:rPr>
  </w:style>
  <w:style w:type="paragraph" w:customStyle="1" w:styleId="references">
    <w:name w:val="references"/>
    <w:qFormat/>
    <w:rsid w:val="00722676"/>
    <w:pPr>
      <w:numPr>
        <w:numId w:val="4"/>
      </w:numPr>
      <w:spacing w:after="50" w:line="180" w:lineRule="exact"/>
      <w:jc w:val="both"/>
    </w:pPr>
    <w:rPr>
      <w:rFonts w:ascii="Times New Roman" w:eastAsia="MS Mincho" w:hAnsi="Times New Roman" w:cs="Times New Roman"/>
      <w:noProof/>
      <w:sz w:val="16"/>
      <w:szCs w:val="16"/>
      <w:lang w:val="en-US"/>
    </w:rPr>
  </w:style>
  <w:style w:type="character" w:customStyle="1" w:styleId="typography-modulelvnit">
    <w:name w:val="typography-module__lvnit"/>
    <w:rsid w:val="007226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pus.com/pages/publications/105010614879?origin=resultslist" TargetMode="External"/><Relationship Id="rId13" Type="http://schemas.openxmlformats.org/officeDocument/2006/relationships/hyperlink" Target="https://www.scopus.com/authid/detail.uri?authorId=57198356929" TargetMode="External"/><Relationship Id="rId18" Type="http://schemas.openxmlformats.org/officeDocument/2006/relationships/hyperlink" Target="https://www.scopus.com/pages/publications/85187924594?origin=resultslist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scopus.com/sourceid/13902?origin=resultslist" TargetMode="External"/><Relationship Id="rId12" Type="http://schemas.openxmlformats.org/officeDocument/2006/relationships/hyperlink" Target="https://www.scopus.com/pages/publications/85060231924?origin=resultslist" TargetMode="External"/><Relationship Id="rId17" Type="http://schemas.openxmlformats.org/officeDocument/2006/relationships/hyperlink" Target="https://www.scopus.com/authid/detail.uri?authorId=57198356929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copus.com/pages/publications/85063573095?origin=resultslist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scopus.com/pages/publications/85218469379?origin=resultslist" TargetMode="External"/><Relationship Id="rId11" Type="http://schemas.openxmlformats.org/officeDocument/2006/relationships/hyperlink" Target="https://www.scopus.com/authid/detail.uri?authorId=57198356929" TargetMode="External"/><Relationship Id="rId5" Type="http://schemas.openxmlformats.org/officeDocument/2006/relationships/hyperlink" Target="mailto:aanovikov2004@yandex.ru" TargetMode="External"/><Relationship Id="rId15" Type="http://schemas.openxmlformats.org/officeDocument/2006/relationships/hyperlink" Target="https://www.scopus.com/authid/detail.uri?authorId=57198356929" TargetMode="External"/><Relationship Id="rId10" Type="http://schemas.openxmlformats.org/officeDocument/2006/relationships/hyperlink" Target="https://www.scopus.com/pages/publications/85076298129?origin=resultslist" TargetMode="External"/><Relationship Id="rId19" Type="http://schemas.openxmlformats.org/officeDocument/2006/relationships/hyperlink" Target="https://www.scopus.com/authid/detail.uri?authorId=563521764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copus.com/sourceid/12925?origin=resultslist" TargetMode="External"/><Relationship Id="rId14" Type="http://schemas.openxmlformats.org/officeDocument/2006/relationships/hyperlink" Target="https://www.scopus.com/pages/publications/85075255125?origin=resultsli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4024</TotalTime>
  <Pages>2</Pages>
  <Words>960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2026-02-09T18:42:00Z</dcterms:created>
  <dcterms:modified xsi:type="dcterms:W3CDTF">2026-02-16T11:43:00Z</dcterms:modified>
</cp:coreProperties>
</file>