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Аномальная диффузия метана в матрице керогена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Шистко С.А.</w:t>
      </w:r>
      <w:r w:rsidDel="00000000" w:rsidR="00000000" w:rsidRPr="00000000">
        <w:rPr>
          <w:b w:val="1"/>
          <w:bCs w:val="1"/>
          <w:i w:val="1"/>
          <w:iCs w:val="1"/>
          <w:vertAlign w:val="superscript"/>
          <w:rtl w:val="0"/>
        </w:rPr>
        <w:t xml:space="preserve">1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,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Семенчук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А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.А.</w:t>
      </w:r>
      <w:r w:rsidDel="00000000" w:rsidR="00000000" w:rsidRPr="00000000">
        <w:rPr>
          <w:b w:val="1"/>
          <w:bCs w:val="1"/>
          <w:i w:val="1"/>
          <w:iCs w:val="1"/>
          <w:color w:val="000000"/>
          <w:vertAlign w:val="superscript"/>
          <w:rtl w:val="0"/>
        </w:rPr>
        <w:t xml:space="preserve">1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,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Копаничук И.В.</w:t>
      </w:r>
      <w:r w:rsidDel="00000000" w:rsidR="00000000" w:rsidRPr="00000000">
        <w:rPr>
          <w:b w:val="1"/>
          <w:bCs w:val="1"/>
          <w:i w:val="1"/>
          <w:iCs w:val="1"/>
          <w:vertAlign w:val="superscript"/>
          <w:rtl w:val="0"/>
        </w:rPr>
        <w:t xml:space="preserve">1,4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, Кондратюк Н.Д.</w:t>
      </w:r>
      <w:r w:rsidDel="00000000" w:rsidR="00000000" w:rsidRPr="00000000">
        <w:rPr>
          <w:b w:val="1"/>
          <w:bCs w:val="1"/>
          <w:i w:val="1"/>
          <w:iCs w:val="1"/>
          <w:vertAlign w:val="superscript"/>
          <w:rtl w:val="0"/>
        </w:rPr>
        <w:t xml:space="preserve">1,2,3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iCs w:val="1"/>
          <w:color w:val="000000"/>
          <w:vertAlign w:val="superscript"/>
          <w:rtl w:val="0"/>
        </w:rPr>
        <w:t xml:space="preserve">1</w:t>
      </w:r>
      <w:r w:rsidDel="00000000" w:rsidR="00000000" w:rsidRPr="00000000">
        <w:rPr>
          <w:i w:val="1"/>
          <w:iCs w:val="1"/>
          <w:rtl w:val="0"/>
        </w:rPr>
        <w:t xml:space="preserve">Московский физико-технический институт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Долгопрудный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i w:val="1"/>
          <w:iCs w:val="1"/>
          <w:color w:val="000000"/>
        </w:rPr>
      </w:pPr>
      <w:r w:rsidDel="00000000" w:rsidR="00000000" w:rsidRPr="00000000">
        <w:rPr>
          <w:i w:val="1"/>
          <w:iCs w:val="1"/>
          <w:color w:val="000000"/>
          <w:vertAlign w:val="superscript"/>
          <w:rtl w:val="0"/>
        </w:rPr>
        <w:t xml:space="preserve">2</w:t>
      </w:r>
      <w:r w:rsidDel="00000000" w:rsidR="00000000" w:rsidRPr="00000000">
        <w:rPr>
          <w:i w:val="1"/>
          <w:iCs w:val="1"/>
          <w:rtl w:val="0"/>
        </w:rPr>
        <w:t xml:space="preserve">Объединённый институт высоких температур РАН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, Москва</w:t>
      </w:r>
      <w:r w:rsidDel="00000000" w:rsidR="00000000" w:rsidRPr="00000000">
        <w:rPr>
          <w:i w:val="1"/>
          <w:iCs w:val="1"/>
          <w:rtl w:val="0"/>
        </w:rPr>
        <w:t xml:space="preserve">,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 Россия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vertAlign w:val="superscript"/>
          <w:rtl w:val="0"/>
        </w:rPr>
        <w:t xml:space="preserve">3</w:t>
      </w:r>
      <w:r w:rsidDel="00000000" w:rsidR="00000000" w:rsidRPr="00000000">
        <w:rPr>
          <w:i w:val="1"/>
          <w:iCs w:val="1"/>
          <w:rtl w:val="0"/>
        </w:rPr>
        <w:t xml:space="preserve">Национальный исследовательский университет "Высшая школа экономики", Москва, Россия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vertAlign w:val="superscript"/>
          <w:rtl w:val="0"/>
        </w:rPr>
        <w:t xml:space="preserve">4</w:t>
      </w:r>
      <w:r w:rsidDel="00000000" w:rsidR="00000000" w:rsidRPr="00000000">
        <w:rPr>
          <w:i w:val="1"/>
          <w:iCs w:val="1"/>
          <w:rtl w:val="0"/>
        </w:rPr>
        <w:t xml:space="preserve">АНО "Институт искусственного интеллекта", Москва, Россия</w:t>
      </w:r>
      <w:r w:rsidDel="00000000" w:rsidR="00000000" w:rsidRPr="00000000">
        <w:rPr>
          <w:i w:val="1"/>
          <w:iCs w:val="1"/>
          <w:color w:val="000000"/>
          <w:rtl w:val="0"/>
        </w:rPr>
        <w:br w:type="textWrapping"/>
        <w:t xml:space="preserve">E-mail: </w:t>
      </w:r>
      <w:r w:rsidDel="00000000" w:rsidR="00000000" w:rsidRPr="00000000">
        <w:rPr>
          <w:i w:val="1"/>
          <w:iCs w:val="1"/>
          <w:rtl w:val="0"/>
        </w:rPr>
        <w:t xml:space="preserve">semenchuk.aa@phystech.edu</w:t>
      </w:r>
    </w:p>
    <w:p w:rsidR="00000000" w:rsidDel="00000000" w:rsidP="00000000" w:rsidRDefault="00000000" w:rsidRPr="00000000" w14:paraId="00000007">
      <w:pPr>
        <w:spacing w:after="0" w:before="0" w:line="240" w:lineRule="auto"/>
        <w:ind w:firstLine="708.6614173228347"/>
        <w:rPr/>
      </w:pPr>
      <w:r w:rsidDel="00000000" w:rsidR="00000000" w:rsidRPr="00000000">
        <w:rPr>
          <w:rtl w:val="0"/>
        </w:rPr>
        <w:t xml:space="preserve">Значительную часть нефтеносных сланцевых пород составляют керогены — высокомолекулярные предшественники нефти. Они обладают пористой структурой, внутри которой содержатся газообразные углеводороды. Данные о диффузии газа в керогенах необходимы для уточнения многомасштабных моделей фильтрации. Экспериментальное определение динамических свойств затруднено из-за высокой вероятности повреждения молекулярной структуры при извлечении образцов. Поэтому для исследования высокомолекулярных материалов, включая структуру керогенов, широко применяется метод молекулярной динамики.</w:t>
      </w:r>
    </w:p>
    <w:p w:rsidR="00000000" w:rsidDel="00000000" w:rsidP="00000000" w:rsidRDefault="00000000" w:rsidRPr="00000000" w14:paraId="00000008">
      <w:pPr>
        <w:spacing w:after="0" w:before="0" w:line="240" w:lineRule="auto"/>
        <w:ind w:firstLine="708.6614173228347"/>
        <w:rPr/>
      </w:pPr>
      <w:r w:rsidDel="00000000" w:rsidR="00000000" w:rsidRPr="00000000">
        <w:rPr>
          <w:rtl w:val="0"/>
        </w:rPr>
        <w:t xml:space="preserve">Моделирование диффузии газа в матрице керогена связано с вычислительными трудностями. Перенос вещества определяется редкими «перескоками» между изолированными поровыми областями, что требует расчёта длительных траекторий. Недостаточная продолжительность моделирования может приводить к значительному завышению коэффициентов диффузии по сравнению с экспериментальными данными.</w:t>
      </w:r>
    </w:p>
    <w:p w:rsidR="00000000" w:rsidDel="00000000" w:rsidP="00000000" w:rsidRDefault="00000000" w:rsidRPr="00000000" w14:paraId="00000009">
      <w:pPr>
        <w:spacing w:after="0" w:before="0" w:line="240" w:lineRule="auto"/>
        <w:ind w:firstLine="708.661417322834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В работе выполнены расчёты для керогенов типов I-A и II-A методом молекулярной динамики. Для обеих структур определены ключевые морфологические характеристики порового пространства, включая средний размер пор, суммарную пористость и степень связности поровой сети, что позволяет количественно сопоставить керогены разных типов. Рассчитаны коэффициенты диффузии метана (CH₄) и водорода (H₂) в матрицах керогенов типов I и II при температурах 300 и 400 K. Также определены характерные времена межпоровых перескоков молекул и времена их локализации в порах. Полученные параметры позволяют количественно описать скачкообразный механизм диффузии в керогене и в дальнейшем использовать их для построения моделей броуновского движения молекул в керогеновой матрице.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0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  <w:t xml:space="preserve">1. Dawass N. et al. Prediction of adsorption and diffusion of shale gas in composite pores consisting of kaolinite and kerogen using molecular simulation //The Journal of Physical Chemistry C. – 2023. – Т. 127. – №. 20. – С. 9452-9462.</w:t>
      </w:r>
    </w:p>
    <w:p w:rsidR="00000000" w:rsidDel="00000000" w:rsidP="00000000" w:rsidRDefault="00000000" w:rsidRPr="00000000" w14:paraId="0000000D">
      <w:pPr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  <w:t xml:space="preserve">2. Patrick A. et. al., Modeling competitive adsorption and diffusion of CH4/CO2 mixtures confined in mature type-II kerogen: Insights from molecular dynamics simulations, Fuel, Volume 352, 2023, 129020, ISSN 0016-2361,</w:t>
      </w:r>
    </w:p>
    <w:p w:rsidR="00000000" w:rsidDel="00000000" w:rsidP="00000000" w:rsidRDefault="00000000" w:rsidRPr="00000000" w14:paraId="0000000E">
      <w:pPr>
        <w:spacing w:after="0" w:before="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3. Yu, Kai &amp; Bowers, Geoffrey &amp; L, Narasimhan &amp; Kalinichev, Andrey &amp; Yazaydin, A.. (2021). Diffusion Behavior of Methane in 3D Kerogen Models. Energy &amp; Fuels. 35. 10.1021/acs.energyfuels.1c02167.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360.6299212598426" w:right="1360.629921259842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>
        <w:shd w:fill="ffffff" w:val="clear"/>
        <w:ind w:firstLine="72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5">
    <w:name w:val="List Paragraph"/>
    <w:basedOn w:val="a"/>
    <w:link w:val="a6"/>
    <w:uiPriority w:val="34"/>
    <w:qFormat w:val="1"/>
    <w:rsid w:val="00106375"/>
    <w:pPr>
      <w:ind w:left="720"/>
      <w:contextualSpacing w:val="1"/>
    </w:pPr>
  </w:style>
  <w:style w:type="character" w:styleId="a6" w:customStyle="1">
    <w:name w:val="Абзац списка Знак"/>
    <w:basedOn w:val="a0"/>
    <w:link w:val="a5"/>
    <w:uiPriority w:val="34"/>
    <w:locked w:val="1"/>
    <w:rsid w:val="004A26A3"/>
  </w:style>
  <w:style w:type="character" w:styleId="a7">
    <w:name w:val="Placeholder Text"/>
    <w:basedOn w:val="a0"/>
    <w:uiPriority w:val="99"/>
    <w:semiHidden w:val="1"/>
    <w:rsid w:val="00E22189"/>
    <w:rPr>
      <w:color w:val="808080"/>
    </w:rPr>
  </w:style>
  <w:style w:type="paragraph" w:styleId="a8">
    <w:name w:val="No Spacing"/>
    <w:uiPriority w:val="1"/>
    <w:qFormat w:val="1"/>
    <w:rsid w:val="00FF1903"/>
    <w:rPr>
      <w:rFonts w:cs="Times New Roman"/>
      <w:sz w:val="22"/>
      <w:szCs w:val="22"/>
      <w:lang w:bidi="en-US" w:eastAsia="en-US" w:val="en-US"/>
    </w:rPr>
  </w:style>
  <w:style w:type="character" w:styleId="a9">
    <w:name w:val="Hyperlink"/>
    <w:basedOn w:val="a0"/>
    <w:uiPriority w:val="99"/>
    <w:unhideWhenUsed w:val="1"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 w:val="1"/>
    <w:unhideWhenUsed w:val="1"/>
    <w:rsid w:val="00F865B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1J624bBowc4twVM2NGRJJD1Gow==">CgMxLjA4AHIhMWp5OTV0OENVRVZMenJnNWRfaTI0ODYwdUVNOVhMaWk1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2022-11-07T09:18:00Z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Mendeley Document_1">
    <vt:lpwstr>True</vt:lpwstr>
  </property>
  <property fmtid="{D5CDD505-2E9C-101B-9397-08002B2CF9AE}" pid="26" name="Mendeley Recent Style Id 6_1">
    <vt:lpwstr>http://www.zotero.org/styles/russian-chemical-reviews</vt:lpwstr>
  </property>
  <property fmtid="{D5CDD505-2E9C-101B-9397-08002B2CF9AE}" pid="27" name="Mendeley Recent Style Id 7_1">
    <vt:lpwstr>http://www.zotero.org/styles/gost-r-7-0-5-2008</vt:lpwstr>
  </property>
  <property fmtid="{D5CDD505-2E9C-101B-9397-08002B2CF9AE}" pid="28" name="Mendeley Recent Style Id 8_1">
    <vt:lpwstr>http://www.zotero.org/styles/gost-r-7-0-5-2008-numeric</vt:lpwstr>
  </property>
  <property fmtid="{D5CDD505-2E9C-101B-9397-08002B2CF9AE}" pid="29" name="Mendeley Recent Style Id 9_1">
    <vt:lpwstr>http://csl.mendeley.com/styles/7762213/gost-r-7-0-5-2008-numeric-3</vt:lpwstr>
  </property>
  <property fmtid="{D5CDD505-2E9C-101B-9397-08002B2CF9AE}" pid="30" name="Mendeley Recent Style Name 8_1">
    <vt:lpwstr>Russian GOST R 7.0.5-2008 (numeric)</vt:lpwstr>
  </property>
  <property fmtid="{D5CDD505-2E9C-101B-9397-08002B2CF9AE}" pid="31" name="Mendeley Recent Style Name 9_1">
    <vt:lpwstr>Russian GOST R 7.0.5-2008 (numeric) - Alexander Dzuban</vt:lpwstr>
  </property>
  <property fmtid="{D5CDD505-2E9C-101B-9397-08002B2CF9AE}" pid="32" name="Mendeley Recent Style Name 6_1">
    <vt:lpwstr>Russian Chemical Reviews</vt:lpwstr>
  </property>
  <property fmtid="{D5CDD505-2E9C-101B-9397-08002B2CF9AE}" pid="33" name="Mendeley Recent Style Name 7_1">
    <vt:lpwstr>Russian GOST R 7.0.5-2008 (Russian)</vt:lpwstr>
  </property>
  <property fmtid="{D5CDD505-2E9C-101B-9397-08002B2CF9AE}" pid="34" name="Mendeley Citation Style_1">
    <vt:lpwstr>http://www.zotero.org/styles/gost-r-7-0-5-2008-numeric</vt:lpwstr>
  </property>
  <property fmtid="{D5CDD505-2E9C-101B-9397-08002B2CF9AE}" pid="35" name="Mendeley Recent Style Name 0_1">
    <vt:lpwstr>Chicago Manual of Style 17th edition (author-date)</vt:lpwstr>
  </property>
  <property fmtid="{D5CDD505-2E9C-101B-9397-08002B2CF9AE}" pid="36" name="Mendeley Recent Style Name 1_1">
    <vt:lpwstr>Cite Them Right 10th edition - Harvard</vt:lpwstr>
  </property>
  <property fmtid="{D5CDD505-2E9C-101B-9397-08002B2CF9AE}" pid="37" name="Mendeley Unique User Id_1">
    <vt:lpwstr>b09b180f-15e6-39a8-8e02-e401af1d2283</vt:lpwstr>
  </property>
  <property fmtid="{D5CDD505-2E9C-101B-9397-08002B2CF9AE}" pid="38" name="Mendeley Recent Style Name 4_1">
    <vt:lpwstr>Modern Language Association 8th edition</vt:lpwstr>
  </property>
  <property fmtid="{D5CDD505-2E9C-101B-9397-08002B2CF9AE}" pid="39" name="Mendeley Recent Style Name 5_1">
    <vt:lpwstr>Nature</vt:lpwstr>
  </property>
  <property fmtid="{D5CDD505-2E9C-101B-9397-08002B2CF9AE}" pid="40" name="Mendeley Recent Style Name 2_1">
    <vt:lpwstr>IEEE</vt:lpwstr>
  </property>
  <property fmtid="{D5CDD505-2E9C-101B-9397-08002B2CF9AE}" pid="41" name="Mendeley Recent Style Name 3_1">
    <vt:lpwstr>Modern Humanities Research Association 3rd edition (note with bibliography)</vt:lpwstr>
  </property>
  <property fmtid="{D5CDD505-2E9C-101B-9397-08002B2CF9AE}" pid="42" name="Mendeley Recent Style Id 2_1">
    <vt:lpwstr>http://www.zotero.org/styles/ieee</vt:lpwstr>
  </property>
  <property fmtid="{D5CDD505-2E9C-101B-9397-08002B2CF9AE}" pid="43" name="Mendeley Recent Style Id 3_1">
    <vt:lpwstr>http://www.zotero.org/styles/modern-humanities-research-association</vt:lpwstr>
  </property>
  <property fmtid="{D5CDD505-2E9C-101B-9397-08002B2CF9AE}" pid="44" name="Mendeley Recent Style Id 4_1">
    <vt:lpwstr>http://www.zotero.org/styles/modern-language-association</vt:lpwstr>
  </property>
  <property fmtid="{D5CDD505-2E9C-101B-9397-08002B2CF9AE}" pid="45" name="Mendeley Recent Style Id 5_1">
    <vt:lpwstr>http://www.zotero.org/styles/nature</vt:lpwstr>
  </property>
  <property fmtid="{D5CDD505-2E9C-101B-9397-08002B2CF9AE}" pid="46" name="Mendeley Recent Style Id 0_1">
    <vt:lpwstr>http://www.zotero.org/styles/chicago-author-date</vt:lpwstr>
  </property>
  <property fmtid="{D5CDD505-2E9C-101B-9397-08002B2CF9AE}" pid="47" name="Mendeley Recent Style Id 1_1">
    <vt:lpwstr>http://www.zotero.org/styles/harvard-cite-them-right</vt:lpwstr>
  </property>
</Properties>
</file>