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DF9" w:rsidRDefault="00D05DF9" w:rsidP="00D05DF9">
      <w:pPr>
        <w:jc w:val="center"/>
        <w:rPr>
          <w:rFonts w:cs="Times New Roman"/>
          <w:b/>
          <w:bCs/>
          <w:i/>
          <w:iCs/>
          <w:lang w:val="ru-RU"/>
        </w:rPr>
      </w:pPr>
      <w:r w:rsidRPr="00D05DF9">
        <w:rPr>
          <w:rFonts w:cs="Times New Roman"/>
          <w:b/>
          <w:bCs/>
          <w:i/>
          <w:iCs/>
          <w:lang w:val="ru-RU"/>
        </w:rPr>
        <w:t>Исследование возможности использования последовательной комбинации циклотронных мишеней для одновременной наработки нескольких медицинских радионуклидов</w:t>
      </w:r>
    </w:p>
    <w:p w:rsidR="00D05DF9" w:rsidRDefault="00D05DF9" w:rsidP="00D05DF9">
      <w:pPr>
        <w:jc w:val="center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Портнов В.М.</w:t>
      </w:r>
    </w:p>
    <w:p w:rsidR="00D05DF9" w:rsidRPr="009B2285" w:rsidRDefault="00D05DF9" w:rsidP="00D05DF9">
      <w:pPr>
        <w:jc w:val="center"/>
        <w:rPr>
          <w:rFonts w:cs="Times New Roman"/>
          <w:i/>
          <w:iCs/>
          <w:lang w:val="ru-RU"/>
        </w:rPr>
      </w:pPr>
      <w:r w:rsidRPr="005A68DC">
        <w:rPr>
          <w:rFonts w:cs="Times New Roman"/>
          <w:i/>
          <w:iCs/>
          <w:lang w:val="ru-RU"/>
        </w:rPr>
        <w:t>Студент, магистр</w:t>
      </w:r>
    </w:p>
    <w:p w:rsidR="00D05DF9" w:rsidRPr="005A68DC" w:rsidRDefault="00D05DF9" w:rsidP="00D05DF9">
      <w:pPr>
        <w:jc w:val="center"/>
        <w:rPr>
          <w:rFonts w:cs="Times New Roman"/>
          <w:i/>
          <w:iCs/>
          <w:lang w:val="ru-RU"/>
        </w:rPr>
      </w:pPr>
      <w:r w:rsidRPr="005A68DC">
        <w:rPr>
          <w:rFonts w:cs="Times New Roman"/>
          <w:i/>
          <w:iCs/>
          <w:lang w:val="ru-RU"/>
        </w:rPr>
        <w:t xml:space="preserve">Национальный </w:t>
      </w:r>
      <w:r w:rsidR="005A68DC" w:rsidRPr="005A68DC">
        <w:rPr>
          <w:rFonts w:cs="Times New Roman"/>
          <w:i/>
          <w:iCs/>
          <w:lang w:val="ru-RU"/>
        </w:rPr>
        <w:t>Исследовательски</w:t>
      </w:r>
      <w:r w:rsidR="005A68DC">
        <w:rPr>
          <w:rFonts w:cs="Times New Roman"/>
          <w:i/>
          <w:iCs/>
          <w:lang w:val="ru-RU"/>
        </w:rPr>
        <w:t>й</w:t>
      </w:r>
      <w:r w:rsidRPr="005A68DC">
        <w:rPr>
          <w:rFonts w:cs="Times New Roman"/>
          <w:i/>
          <w:iCs/>
          <w:lang w:val="ru-RU"/>
        </w:rPr>
        <w:t xml:space="preserve"> Ядерный Университет </w:t>
      </w:r>
      <w:r w:rsidR="00782003" w:rsidRPr="006433BD">
        <w:rPr>
          <w:rFonts w:cs="Times New Roman"/>
          <w:i/>
          <w:iCs/>
          <w:lang w:val="ru-RU"/>
        </w:rPr>
        <w:t>“</w:t>
      </w:r>
      <w:r w:rsidRPr="005A68DC">
        <w:rPr>
          <w:rFonts w:cs="Times New Roman"/>
          <w:i/>
          <w:iCs/>
          <w:lang w:val="ru-RU"/>
        </w:rPr>
        <w:t>МИФИ</w:t>
      </w:r>
      <w:r w:rsidR="00782003" w:rsidRPr="00782003">
        <w:rPr>
          <w:rFonts w:cs="Times New Roman"/>
          <w:i/>
          <w:iCs/>
          <w:lang w:val="ru-RU"/>
        </w:rPr>
        <w:t>”</w:t>
      </w:r>
      <w:r w:rsidRPr="005A68DC">
        <w:rPr>
          <w:rFonts w:cs="Times New Roman"/>
          <w:i/>
          <w:iCs/>
          <w:lang w:val="ru-RU"/>
        </w:rPr>
        <w:t xml:space="preserve">, </w:t>
      </w:r>
      <w:r w:rsidR="00782003">
        <w:rPr>
          <w:rFonts w:cs="Times New Roman"/>
          <w:i/>
          <w:iCs/>
          <w:lang w:val="ru-RU"/>
        </w:rPr>
        <w:t>Инженерно-физический институт биомедицины</w:t>
      </w:r>
      <w:r w:rsidRPr="005A68DC">
        <w:rPr>
          <w:rFonts w:cs="Times New Roman"/>
          <w:i/>
          <w:iCs/>
          <w:lang w:val="ru-RU"/>
        </w:rPr>
        <w:t>, г.</w:t>
      </w:r>
      <w:r w:rsidR="005A68DC">
        <w:rPr>
          <w:rFonts w:cs="Times New Roman"/>
          <w:i/>
          <w:iCs/>
          <w:lang w:val="ru-RU"/>
        </w:rPr>
        <w:t xml:space="preserve"> </w:t>
      </w:r>
      <w:r w:rsidRPr="005A68DC">
        <w:rPr>
          <w:rFonts w:cs="Times New Roman"/>
          <w:i/>
          <w:iCs/>
          <w:lang w:val="ru-RU"/>
        </w:rPr>
        <w:t>Москва, Россия</w:t>
      </w:r>
    </w:p>
    <w:p w:rsidR="00D05DF9" w:rsidRPr="009B2285" w:rsidRDefault="005A68DC" w:rsidP="00D05DF9">
      <w:pPr>
        <w:ind w:firstLine="0"/>
        <w:jc w:val="center"/>
        <w:rPr>
          <w:rFonts w:cs="Times New Roman"/>
          <w:i/>
          <w:iCs/>
          <w:lang w:val="en-US"/>
        </w:rPr>
      </w:pPr>
      <w:r>
        <w:rPr>
          <w:rFonts w:cs="Times New Roman"/>
          <w:i/>
          <w:iCs/>
          <w:lang w:val="en-US"/>
        </w:rPr>
        <w:t>E</w:t>
      </w:r>
      <w:r w:rsidRPr="009B2285">
        <w:rPr>
          <w:rFonts w:cs="Times New Roman"/>
          <w:i/>
          <w:iCs/>
          <w:lang w:val="en-US"/>
        </w:rPr>
        <w:t>-</w:t>
      </w:r>
      <w:r>
        <w:rPr>
          <w:rFonts w:cs="Times New Roman"/>
          <w:i/>
          <w:iCs/>
          <w:lang w:val="en-US"/>
        </w:rPr>
        <w:t>mail</w:t>
      </w:r>
      <w:r w:rsidRPr="009B2285">
        <w:rPr>
          <w:rFonts w:cs="Times New Roman"/>
          <w:i/>
          <w:iCs/>
          <w:lang w:val="en-US"/>
        </w:rPr>
        <w:t xml:space="preserve">: </w:t>
      </w:r>
      <w:r>
        <w:rPr>
          <w:rFonts w:cs="Times New Roman"/>
          <w:i/>
          <w:iCs/>
          <w:lang w:val="en-US"/>
        </w:rPr>
        <w:t>v</w:t>
      </w:r>
      <w:r w:rsidR="00D05DF9" w:rsidRPr="005A68DC">
        <w:rPr>
          <w:rFonts w:cs="Times New Roman"/>
          <w:i/>
          <w:iCs/>
          <w:lang w:val="en-US"/>
        </w:rPr>
        <w:t>lad.portnov@icloud.com</w:t>
      </w:r>
    </w:p>
    <w:p w:rsidR="00D05DF9" w:rsidRPr="009B2285" w:rsidRDefault="00D05DF9" w:rsidP="006433BD">
      <w:pPr>
        <w:rPr>
          <w:lang w:val="ru-RU"/>
        </w:rPr>
      </w:pPr>
      <w:r w:rsidRPr="00D05DF9">
        <w:t>Развитие радиофармацевтики сопровождается расширением номенклатуры диагностических радионуклидов, однако их доступность ограничена стоимостью ускорительного времени и необходимостью раздельных циклов облучения. Повышение эффективности использования протонного пучка является актуальной задачей изотопного производства.</w:t>
      </w:r>
    </w:p>
    <w:p w:rsidR="00D05DF9" w:rsidRPr="00D05DF9" w:rsidRDefault="00D05DF9" w:rsidP="006433BD">
      <w:pPr>
        <w:rPr>
          <w:lang w:val="ru-RU"/>
        </w:rPr>
      </w:pPr>
      <w:r w:rsidRPr="00D05DF9">
        <w:t xml:space="preserve">В работе исследована концепция каскадной наработки, основанная на последовательном размещении мишеней с различными энергетическими диапазонами </w:t>
      </w:r>
      <w:r w:rsidRPr="00D05DF9">
        <w:rPr>
          <w:lang w:val="ru-RU"/>
        </w:rPr>
        <w:t xml:space="preserve">ядерных </w:t>
      </w:r>
      <w:r w:rsidRPr="00D05DF9">
        <w:t>реакций в поле одного пучка. Первая мишень работает вблизи максимума сечения</w:t>
      </w:r>
      <w:r w:rsidRPr="00D05DF9">
        <w:rPr>
          <w:lang w:val="ru-RU"/>
        </w:rPr>
        <w:t xml:space="preserve"> реакции</w:t>
      </w:r>
      <w:r w:rsidRPr="00D05DF9">
        <w:t xml:space="preserve">, после чего пучок, частично теряя энергию, поступает на вторую мишень, где реализуется другая </w:t>
      </w:r>
      <w:r w:rsidRPr="00D05DF9">
        <w:rPr>
          <w:lang w:val="ru-RU"/>
        </w:rPr>
        <w:t xml:space="preserve">ядерная </w:t>
      </w:r>
      <w:r w:rsidRPr="00D05DF9">
        <w:t xml:space="preserve">реакция при пониженной энергии. Это позволяет совмещать </w:t>
      </w:r>
      <w:r w:rsidRPr="00D05DF9">
        <w:rPr>
          <w:lang w:val="ru-RU"/>
        </w:rPr>
        <w:t xml:space="preserve">одновременно </w:t>
      </w:r>
      <w:r w:rsidRPr="00D05DF9">
        <w:t xml:space="preserve">несколько </w:t>
      </w:r>
      <w:r w:rsidRPr="00D05DF9">
        <w:rPr>
          <w:lang w:val="ru-RU"/>
        </w:rPr>
        <w:t xml:space="preserve">различных материалов-мишеней </w:t>
      </w:r>
      <w:r w:rsidRPr="00D05DF9">
        <w:t>в рамках одного облучения.</w:t>
      </w:r>
    </w:p>
    <w:p w:rsidR="00D05DF9" w:rsidRPr="00D05DF9" w:rsidRDefault="00D05DF9" w:rsidP="006433BD">
      <w:pPr>
        <w:rPr>
          <w:lang w:val="ru-RU"/>
        </w:rPr>
      </w:pPr>
      <w:r w:rsidRPr="00D05DF9">
        <w:t>В качестве примера рассмотрены реакции ⁸⁹Y(p,n)⁸⁹Zr и ¹²⁴Te(p,n)¹²⁴I. Для ⁸⁹Zr использованы параметры промышленного режима</w:t>
      </w:r>
      <w:r w:rsidRPr="00D05DF9">
        <w:rPr>
          <w:lang w:val="ru-RU"/>
        </w:rPr>
        <w:t xml:space="preserve"> наработки</w:t>
      </w:r>
      <w:r w:rsidRPr="00D05DF9">
        <w:t xml:space="preserve"> [</w:t>
      </w:r>
      <w:r w:rsidRPr="00D05DF9">
        <w:rPr>
          <w:lang w:val="ru-RU"/>
        </w:rPr>
        <w:t>2</w:t>
      </w:r>
      <w:r w:rsidRPr="00D05DF9">
        <w:t>]: толщина мишени 250 мкм, энергия 14 МэВ, ток 20 мкА, время 2 ч, что соответствует активности порядка 22 мКи. Моделирование транспорта пучка в Geant4 показало, что средняя энергия протонов после иттриевой мишени составляет ~11,7 МэВ при незначительном ослаблении потока</w:t>
      </w:r>
      <w:r w:rsidRPr="00D05DF9">
        <w:rPr>
          <w:lang w:val="ru-RU"/>
        </w:rPr>
        <w:t>. Полученная выходная энергия использована как входная для второй мишени.</w:t>
      </w:r>
    </w:p>
    <w:p w:rsidR="00D05DF9" w:rsidRPr="00D05DF9" w:rsidRDefault="00D05DF9" w:rsidP="006433BD">
      <w:pPr>
        <w:rPr>
          <w:lang w:val="ru-RU"/>
        </w:rPr>
      </w:pPr>
      <w:r w:rsidRPr="00D05DF9">
        <w:t xml:space="preserve">Для ¹²⁴I рассмотрена мишень из </w:t>
      </w:r>
      <w:r w:rsidRPr="00D05DF9">
        <w:rPr>
          <w:lang w:val="ru-RU"/>
        </w:rPr>
        <w:t xml:space="preserve">обогащённого </w:t>
      </w:r>
      <w:r w:rsidRPr="00D05DF9">
        <w:t>TeO₂ с добавлением 5 % Al₂O₃ [</w:t>
      </w:r>
      <w:r w:rsidRPr="00D05DF9">
        <w:rPr>
          <w:lang w:val="ru-RU"/>
        </w:rPr>
        <w:t>1</w:t>
      </w:r>
      <w:r w:rsidRPr="00D05DF9">
        <w:t xml:space="preserve">]; содержание ¹²⁴Te </w:t>
      </w:r>
      <w:r w:rsidRPr="00D05DF9">
        <w:rPr>
          <w:lang w:val="ru-RU"/>
        </w:rPr>
        <w:t xml:space="preserve">в смеси </w:t>
      </w:r>
      <w:r w:rsidRPr="00D05DF9">
        <w:t xml:space="preserve">составляет ~4,15 г/см³. При толщине 250 мкм расчёты </w:t>
      </w:r>
      <w:r w:rsidRPr="00D05DF9">
        <w:rPr>
          <w:lang w:val="ru-RU"/>
        </w:rPr>
        <w:t>с использованием</w:t>
      </w:r>
      <w:r w:rsidRPr="00D05DF9">
        <w:t xml:space="preserve"> TALYS (база TENDL) показывают преимущественную наработку ¹²⁴I без значимого образования ¹²³I</w:t>
      </w:r>
      <w:r w:rsidRPr="00D05DF9">
        <w:rPr>
          <w:lang w:val="ru-RU"/>
        </w:rPr>
        <w:t>, что снижает необходимость выдержки на распад примеси</w:t>
      </w:r>
      <w:r w:rsidRPr="00D05DF9">
        <w:t>. При облучении до 8 ч суммарная активность может достигать ~50 мКи, что соответствует промышленным данным [</w:t>
      </w:r>
      <w:r w:rsidRPr="00D05DF9">
        <w:rPr>
          <w:lang w:val="ru-RU"/>
        </w:rPr>
        <w:t>3</w:t>
      </w:r>
      <w:r w:rsidRPr="00D05DF9">
        <w:t>].</w:t>
      </w:r>
    </w:p>
    <w:p w:rsidR="00D05DF9" w:rsidRPr="00D05DF9" w:rsidRDefault="00D05DF9" w:rsidP="006433BD">
      <w:r w:rsidRPr="00D05DF9">
        <w:t xml:space="preserve">Поскольку цикл наработки ⁸⁹Zr составляет около 2 ч, за время </w:t>
      </w:r>
      <w:r w:rsidRPr="00D05DF9">
        <w:rPr>
          <w:lang w:val="ru-RU"/>
        </w:rPr>
        <w:t>наработки</w:t>
      </w:r>
      <w:r w:rsidRPr="00D05DF9">
        <w:t xml:space="preserve"> ¹²⁴I возможно выполнение до четырёх последовательных наработок ⁸⁹Zr без изменения параметров</w:t>
      </w:r>
      <w:r w:rsidRPr="00D05DF9">
        <w:rPr>
          <w:lang w:val="ru-RU"/>
        </w:rPr>
        <w:t xml:space="preserve"> и конструкции</w:t>
      </w:r>
      <w:r w:rsidRPr="00D05DF9">
        <w:t xml:space="preserve"> ускорителя. Полученные результаты подтверждают реализуемость каскадной схемы для одновременного получения нескольких радионуклидов на существующих циклотронных установках.</w:t>
      </w:r>
    </w:p>
    <w:p w:rsidR="00D05DF9" w:rsidRPr="005A68DC" w:rsidRDefault="005A68DC" w:rsidP="006433BD">
      <w:pPr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Литература</w:t>
      </w:r>
      <w:r w:rsidR="00D05DF9" w:rsidRPr="005A68DC">
        <w:rPr>
          <w:rFonts w:cs="Times New Roman"/>
          <w:b/>
          <w:bCs/>
          <w:lang w:val="ru-RU"/>
        </w:rPr>
        <w:t>:</w:t>
      </w:r>
    </w:p>
    <w:p w:rsidR="00D05DF9" w:rsidRPr="005A68DC" w:rsidRDefault="00D05DF9" w:rsidP="006433BD">
      <w:pPr>
        <w:pStyle w:val="p1"/>
        <w:numPr>
          <w:ilvl w:val="0"/>
          <w:numId w:val="1"/>
        </w:numPr>
        <w:rPr>
          <w:rStyle w:val="s1"/>
        </w:rPr>
      </w:pPr>
      <w:r w:rsidRPr="005A68DC">
        <w:rPr>
          <w:rStyle w:val="s1"/>
          <w:rFonts w:eastAsiaTheme="majorEastAsia"/>
        </w:rPr>
        <w:t>Nye J. A., Avila-Rodriguez M. A., Nickles R. J.</w:t>
      </w:r>
      <w:r w:rsidRPr="005A68DC">
        <w:t xml:space="preserve"> Production of [¹²⁴I]-Iodine on an 11 MeV Cyclotron // Radiochimica Acta. – 2006. – Vol. 94, № 4. – </w:t>
      </w:r>
      <w:r w:rsidRPr="005A68DC">
        <w:rPr>
          <w:lang w:val="ru-RU"/>
        </w:rPr>
        <w:t>с</w:t>
      </w:r>
      <w:r w:rsidRPr="005A68DC">
        <w:t xml:space="preserve">. 213–216. – </w:t>
      </w:r>
      <w:proofErr w:type="spellStart"/>
      <w:r w:rsidRPr="005A68DC">
        <w:rPr>
          <w:lang w:val="en-US"/>
        </w:rPr>
        <w:t>doi</w:t>
      </w:r>
      <w:proofErr w:type="spellEnd"/>
      <w:r w:rsidRPr="005A68DC">
        <w:t>:10.1524/ract.2006.94.4.213.</w:t>
      </w:r>
    </w:p>
    <w:p w:rsidR="00D05DF9" w:rsidRPr="005A68DC" w:rsidRDefault="00D05DF9" w:rsidP="006433BD">
      <w:pPr>
        <w:pStyle w:val="p1"/>
        <w:numPr>
          <w:ilvl w:val="0"/>
          <w:numId w:val="1"/>
        </w:numPr>
      </w:pPr>
      <w:r w:rsidRPr="005A68DC">
        <w:rPr>
          <w:rStyle w:val="s1"/>
          <w:rFonts w:eastAsiaTheme="majorEastAsia"/>
        </w:rPr>
        <w:t>IBA RadioPharma Solutions.</w:t>
      </w:r>
      <w:r w:rsidRPr="005A68DC">
        <w:t xml:space="preserve"> 89Zr Production Poster (WTTC15). – 2023. – 6 с. – Режим доступа: https://hm-offload.s3.eu-west-</w:t>
      </w:r>
      <w:r w:rsidRPr="005A68DC">
        <w:lastRenderedPageBreak/>
        <w:t>3.amazonaws.com/iba/2023/04/wttc15_zr-89_poster-std.pdf (дата обращения:15.02.2026).</w:t>
      </w:r>
    </w:p>
    <w:p w:rsidR="00337174" w:rsidRPr="00D05DF9" w:rsidRDefault="00D05DF9" w:rsidP="006433BD">
      <w:pPr>
        <w:pStyle w:val="p1"/>
        <w:numPr>
          <w:ilvl w:val="0"/>
          <w:numId w:val="1"/>
        </w:numPr>
      </w:pPr>
      <w:r w:rsidRPr="005A68DC">
        <w:rPr>
          <w:rStyle w:val="s1"/>
          <w:rFonts w:eastAsiaTheme="majorEastAsia"/>
        </w:rPr>
        <w:t>IBA RadioPharma Solutions.</w:t>
      </w:r>
      <w:r w:rsidRPr="005A68DC">
        <w:t xml:space="preserve">  Информация об активности ¹²⁴I. – Режим доступа: https://www.iba-radiopharmasolutions.com/ru/radioisotopes/i-124/ (дата обращения:15.02.2026</w:t>
      </w:r>
      <w:r w:rsidRPr="00D05DF9">
        <w:t>).</w:t>
      </w:r>
    </w:p>
    <w:sectPr w:rsidR="00337174" w:rsidRPr="00D05DF9" w:rsidSect="00D05DF9">
      <w:pgSz w:w="11906" w:h="16838"/>
      <w:pgMar w:top="1134" w:right="2268" w:bottom="12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673E8"/>
    <w:multiLevelType w:val="multilevel"/>
    <w:tmpl w:val="D198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F6A17"/>
    <w:multiLevelType w:val="multilevel"/>
    <w:tmpl w:val="72768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527A4"/>
    <w:multiLevelType w:val="multilevel"/>
    <w:tmpl w:val="D51AE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732BB"/>
    <w:multiLevelType w:val="hybridMultilevel"/>
    <w:tmpl w:val="A3428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7F67"/>
    <w:multiLevelType w:val="multilevel"/>
    <w:tmpl w:val="C9E84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056630">
    <w:abstractNumId w:val="3"/>
  </w:num>
  <w:num w:numId="2" w16cid:durableId="498930902">
    <w:abstractNumId w:val="0"/>
  </w:num>
  <w:num w:numId="3" w16cid:durableId="2106608087">
    <w:abstractNumId w:val="2"/>
  </w:num>
  <w:num w:numId="4" w16cid:durableId="710693114">
    <w:abstractNumId w:val="1"/>
  </w:num>
  <w:num w:numId="5" w16cid:durableId="2115250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DF"/>
    <w:rsid w:val="00005B37"/>
    <w:rsid w:val="00197EBB"/>
    <w:rsid w:val="001D585F"/>
    <w:rsid w:val="002125D3"/>
    <w:rsid w:val="00266C99"/>
    <w:rsid w:val="00303857"/>
    <w:rsid w:val="00337174"/>
    <w:rsid w:val="00455E69"/>
    <w:rsid w:val="00540A36"/>
    <w:rsid w:val="005A68DC"/>
    <w:rsid w:val="00641730"/>
    <w:rsid w:val="006433BD"/>
    <w:rsid w:val="0072657A"/>
    <w:rsid w:val="00772F86"/>
    <w:rsid w:val="007748F5"/>
    <w:rsid w:val="00782003"/>
    <w:rsid w:val="00794B7E"/>
    <w:rsid w:val="00820ACA"/>
    <w:rsid w:val="0086635B"/>
    <w:rsid w:val="00972296"/>
    <w:rsid w:val="009904BF"/>
    <w:rsid w:val="009B2285"/>
    <w:rsid w:val="009F52E0"/>
    <w:rsid w:val="00AA383B"/>
    <w:rsid w:val="00AC062A"/>
    <w:rsid w:val="00B66F09"/>
    <w:rsid w:val="00B977DF"/>
    <w:rsid w:val="00BE4FC1"/>
    <w:rsid w:val="00C42C99"/>
    <w:rsid w:val="00CC5E17"/>
    <w:rsid w:val="00D05DF9"/>
    <w:rsid w:val="00DF4C50"/>
    <w:rsid w:val="00E025C4"/>
    <w:rsid w:val="00E57377"/>
    <w:rsid w:val="00EC04B7"/>
    <w:rsid w:val="00ED152A"/>
    <w:rsid w:val="00EF1523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936614-94ED-B74B-A500-7797E7CB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DC"/>
    <w:pPr>
      <w:spacing w:line="240" w:lineRule="auto"/>
      <w:ind w:firstLine="397"/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DF"/>
    <w:pPr>
      <w:numPr>
        <w:ilvl w:val="1"/>
      </w:numPr>
      <w:ind w:firstLine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D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66C99"/>
    <w:pPr>
      <w:spacing w:before="100" w:beforeAutospacing="1" w:after="100" w:afterAutospacing="1"/>
    </w:pPr>
    <w:rPr>
      <w:rFonts w:eastAsia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266C99"/>
  </w:style>
  <w:style w:type="character" w:styleId="Hyperlink">
    <w:name w:val="Hyperlink"/>
    <w:basedOn w:val="DefaultParagraphFont"/>
    <w:uiPriority w:val="99"/>
    <w:unhideWhenUsed/>
    <w:rsid w:val="009B22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B9AFC-58DB-674E-864F-07B8EC98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2026-03-02T16:21:00Z</dcterms:created>
  <dcterms:modified xsi:type="dcterms:W3CDTF">2026-03-02T16:21:00Z</dcterms:modified>
</cp:coreProperties>
</file>