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7C29496" w14:textId="77777777">
      <w:pPr>
        <w:pBdr/>
        <w:spacing w:after="0" w:line="240" w:lineRule="auto"/>
        <w:ind/>
        <w:jc w:val="center"/>
        <w:rPr>
          <w:rFonts w:ascii="Times New Roman" w:hAnsi="Times New Roman" w:eastAsia="CMU Serif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CMU Serif" w:cs="Times New Roman"/>
          <w:b/>
          <w:bCs/>
          <w:sz w:val="24"/>
          <w:szCs w:val="24"/>
          <w:lang w:val="ru-RU"/>
        </w:rPr>
        <w:t xml:space="preserve">Применение метода </w:t>
      </w:r>
      <w:r>
        <w:rPr>
          <w:rFonts w:ascii="Times New Roman" w:hAnsi="Times New Roman" w:eastAsia="CMU Serif" w:cs="Times New Roman"/>
          <w:b/>
          <w:bCs/>
          <w:sz w:val="24"/>
          <w:szCs w:val="24"/>
        </w:rPr>
        <w:t xml:space="preserve">PEC</w:t>
      </w:r>
      <w:r>
        <w:rPr>
          <w:rFonts w:ascii="Times New Roman" w:hAnsi="Times New Roman" w:eastAsia="CMU Serif" w:cs="Times New Roman"/>
          <w:b/>
          <w:bCs/>
          <w:sz w:val="24"/>
          <w:szCs w:val="24"/>
          <w:lang w:val="ru-RU"/>
        </w:rPr>
        <w:t xml:space="preserve"> в решении задач выгорания ядерного топлива</w:t>
      </w:r>
      <w:r>
        <w:rPr>
          <w:rFonts w:ascii="Times New Roman" w:hAnsi="Times New Roman" w:eastAsia="CMU Serif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eastAsia="CMU Serif" w:cs="Times New Roman"/>
          <w:b/>
          <w:bCs/>
          <w:sz w:val="24"/>
          <w:szCs w:val="24"/>
          <w:lang w:val="ru-RU"/>
        </w:rPr>
      </w:r>
    </w:p>
    <w:p w14:paraId="14DC3147" w14:textId="680CEDF0">
      <w:pPr>
        <w:pBdr/>
        <w:spacing w:after="0" w:line="240" w:lineRule="auto"/>
        <w:ind/>
        <w:jc w:val="center"/>
        <w:rPr>
          <w:rFonts w:ascii="Times New Roman" w:hAnsi="Times New Roman" w:eastAsia="CMU Serif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eastAsia="CMU Serif" w:cs="Times New Roman"/>
          <w:b/>
          <w:bCs/>
          <w:i/>
          <w:iCs/>
          <w:sz w:val="24"/>
          <w:szCs w:val="24"/>
          <w:lang w:val="ru-RU"/>
        </w:rPr>
        <w:t xml:space="preserve">Долинов</w:t>
      </w:r>
      <w:r>
        <w:rPr>
          <w:rFonts w:ascii="Times New Roman" w:hAnsi="Times New Roman" w:eastAsia="CMU Serif" w:cs="Times New Roman"/>
          <w:b/>
          <w:bCs/>
          <w:i/>
          <w:iCs/>
          <w:sz w:val="24"/>
          <w:szCs w:val="24"/>
          <w:lang w:val="ru-RU"/>
        </w:rPr>
        <w:t xml:space="preserve"> Д.А</w:t>
      </w:r>
      <w:r>
        <w:rPr>
          <w:rFonts w:ascii="Times New Roman" w:hAnsi="Times New Roman" w:eastAsia="CMU Serif" w:cs="Times New Roman"/>
          <w:b/>
          <w:bCs/>
          <w:i/>
          <w:iCs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CMU Serif" w:cs="Times New Roman"/>
          <w:b/>
          <w:bCs/>
          <w:i/>
          <w:iCs/>
          <w:sz w:val="24"/>
          <w:szCs w:val="24"/>
          <w:lang w:val="ru-RU"/>
        </w:rPr>
      </w:r>
      <w:r>
        <w:rPr>
          <w:rFonts w:ascii="Times New Roman" w:hAnsi="Times New Roman" w:eastAsia="CMU Serif" w:cs="Times New Roman"/>
          <w:b/>
          <w:bCs/>
          <w:i/>
          <w:iCs/>
          <w:sz w:val="24"/>
          <w:szCs w:val="24"/>
          <w:lang w:val="ru-RU"/>
        </w:rPr>
      </w:r>
    </w:p>
    <w:p w14:paraId="1148DCDB" w14:textId="5E5B1A4D">
      <w:pPr>
        <w:pBdr/>
        <w:spacing w:after="0" w:line="240" w:lineRule="auto"/>
        <w:ind/>
        <w:jc w:val="center"/>
        <w:rPr>
          <w:rFonts w:ascii="Times New Roman" w:hAnsi="Times New Roman" w:eastAsia="CMU Serif" w:cs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 w:eastAsia="CMU Serif" w:cs="Times New Roman"/>
          <w:i/>
          <w:iCs/>
          <w:sz w:val="24"/>
          <w:szCs w:val="24"/>
          <w:lang w:val="ru-RU"/>
        </w:rPr>
        <w:t xml:space="preserve">студент</w:t>
      </w:r>
      <w:r>
        <w:rPr>
          <w:rFonts w:ascii="Times New Roman" w:hAnsi="Times New Roman" w:eastAsia="CMU Serif" w:cs="Times New Roman"/>
          <w:bCs/>
          <w:i/>
          <w:sz w:val="24"/>
          <w:szCs w:val="24"/>
          <w:lang w:val="ru-RU"/>
        </w:rPr>
      </w:r>
      <w:r>
        <w:rPr>
          <w:rFonts w:ascii="Times New Roman" w:hAnsi="Times New Roman" w:eastAsia="CMU Serif" w:cs="Times New Roman"/>
          <w:bCs/>
          <w:i/>
          <w:sz w:val="24"/>
          <w:szCs w:val="24"/>
          <w:lang w:val="ru-RU"/>
        </w:rPr>
      </w:r>
    </w:p>
    <w:p w14:paraId="334D6E6A" w14:textId="77777777">
      <w:pPr>
        <w:pBdr/>
        <w:spacing w:after="0" w:line="240" w:lineRule="auto"/>
        <w:ind/>
        <w:jc w:val="center"/>
        <w:rPr>
          <w:rFonts w:ascii="Times New Roman" w:hAnsi="Times New Roman" w:eastAsia="CMU Serif" w:cs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 w:eastAsia="CMU Serif" w:cs="Times New Roman"/>
          <w:i/>
          <w:iCs/>
          <w:sz w:val="24"/>
          <w:szCs w:val="24"/>
          <w:lang w:val="ru-RU"/>
        </w:rPr>
        <w:t xml:space="preserve">Обнинский институт атомной энергетики — филиал федерального государственного автономного образовательного учреждения высшего образования “Национальный исследовательский ядерный университет “МИФИ”, отделение ядерной физики и технологий, Обнинск, Россия</w:t>
      </w:r>
      <w:r>
        <w:rPr>
          <w:rFonts w:ascii="Times New Roman" w:hAnsi="Times New Roman" w:eastAsia="CMU Serif" w:cs="Times New Roman"/>
          <w:bCs/>
          <w:i/>
          <w:sz w:val="24"/>
          <w:szCs w:val="24"/>
          <w:lang w:val="ru-RU"/>
        </w:rPr>
      </w:r>
      <w:r>
        <w:rPr>
          <w:rFonts w:ascii="Times New Roman" w:hAnsi="Times New Roman" w:eastAsia="CMU Serif" w:cs="Times New Roman"/>
          <w:bCs/>
          <w:i/>
          <w:sz w:val="24"/>
          <w:szCs w:val="24"/>
          <w:lang w:val="ru-RU"/>
        </w:rPr>
      </w:r>
    </w:p>
    <w:p w14:paraId="3C919C78" w14:textId="77777777">
      <w:pPr>
        <w:pBdr/>
        <w:spacing w:after="0" w:line="240" w:lineRule="auto"/>
        <w:ind/>
        <w:jc w:val="center"/>
        <w:rPr>
          <w:rStyle w:val="894"/>
          <w:rFonts w:ascii="Times New Roman" w:hAnsi="Times New Roman" w:eastAsia="CMU Serif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eastAsia="CMU Serif" w:cs="Times New Roman"/>
          <w:i/>
          <w:iCs/>
          <w:sz w:val="24"/>
          <w:szCs w:val="24"/>
          <w:lang w:val="ru-RU"/>
        </w:rPr>
        <w:t xml:space="preserve">E-mail: </w:t>
      </w:r>
      <w:hyperlink r:id="rId9" w:tooltip="http://dolinoffdima@gmail.com" w:history="1">
        <w:r>
          <w:rPr>
            <w:rStyle w:val="894"/>
            <w:rFonts w:ascii="Times New Roman" w:hAnsi="Times New Roman" w:eastAsia="CMU Serif" w:cs="Times New Roman"/>
            <w:i/>
            <w:iCs/>
            <w:sz w:val="24"/>
            <w:szCs w:val="24"/>
            <w:lang w:val="ru-RU"/>
          </w:rPr>
          <w:t xml:space="preserve">dolinoffdima@gmail.com</w:t>
        </w:r>
      </w:hyperlink>
      <w:r>
        <w:rPr>
          <w:rStyle w:val="894"/>
          <w:rFonts w:ascii="Times New Roman" w:hAnsi="Times New Roman" w:eastAsia="CMU Serif" w:cs="Times New Roman"/>
          <w:i/>
          <w:iCs/>
          <w:sz w:val="24"/>
          <w:szCs w:val="24"/>
          <w:lang w:val="ru-RU"/>
        </w:rPr>
      </w:r>
      <w:r>
        <w:rPr>
          <w:rStyle w:val="894"/>
          <w:rFonts w:ascii="Times New Roman" w:hAnsi="Times New Roman" w:eastAsia="CMU Serif" w:cs="Times New Roman"/>
          <w:i/>
          <w:iCs/>
          <w:sz w:val="24"/>
          <w:szCs w:val="24"/>
          <w:lang w:val="ru-RU"/>
        </w:rPr>
      </w:r>
    </w:p>
    <w:p w14:paraId="4C842DFB" w14:textId="77777777">
      <w:pPr>
        <w:pBdr/>
        <w:spacing w:after="0" w:line="240" w:lineRule="auto"/>
        <w:ind w:firstLine="397"/>
        <w:jc w:val="both"/>
        <w:rPr>
          <w:rFonts w:ascii="Times New Roman" w:hAnsi="Times New Roman" w:eastAsia="CMU Serif" w:cs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 w:eastAsia="CMU Serif" w:cs="Times New Roman"/>
          <w:bCs/>
          <w:i/>
          <w:sz w:val="24"/>
          <w:szCs w:val="24"/>
          <w:lang w:val="ru-RU"/>
        </w:rPr>
      </w:r>
      <w:r>
        <w:rPr>
          <w:rFonts w:ascii="Times New Roman" w:hAnsi="Times New Roman" w:eastAsia="CMU Serif" w:cs="Times New Roman"/>
          <w:bCs/>
          <w:i/>
          <w:sz w:val="24"/>
          <w:szCs w:val="24"/>
          <w:lang w:val="ru-RU"/>
        </w:rPr>
      </w:r>
      <w:r>
        <w:rPr>
          <w:rFonts w:ascii="Times New Roman" w:hAnsi="Times New Roman" w:eastAsia="CMU Serif" w:cs="Times New Roman"/>
          <w:bCs/>
          <w:i/>
          <w:sz w:val="24"/>
          <w:szCs w:val="24"/>
          <w:lang w:val="ru-RU"/>
        </w:rPr>
      </w:r>
    </w:p>
    <w:p w14:paraId="79FB81AD" w14:textId="160AE5C9">
      <w:pPr>
        <w:pBdr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В данный момент все большую актуальность набирает метод Монте-Карло при решении задач переноса нейтронов, однако решение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задачи выгорания требует значительных мощностей относительно классической условно-критической задачи. Для решения задачи выгорания применяются различные методы. Среди них: явный и неявный методы Эйлера, метод Рунге-Кутты 4-го порядка, явные методы Адамса-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Башфорта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, а также методы прогноза и коррекции (P(EC)</w:t>
      </w:r>
      <w:r>
        <w:rPr>
          <w:rFonts w:ascii="Times New Roman" w:hAnsi="Times New Roman" w:eastAsia="CMU Serif" w:cs="Times New Roman"/>
          <w:sz w:val="24"/>
          <w:szCs w:val="24"/>
          <w:vertAlign w:val="superscript"/>
        </w:rPr>
        <w:t xml:space="preserve">n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- методы) [1]. 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аждый из этих методов имеет свои преимущества и недостатки. Несмотря на высокую вычислительную эффективность и малое время счета, примене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ние явного метода Эйлера для решения поставленной задачи выгорания является некорректным ввиду его вычислительной неустойчивости, обусловленной сильной нелинейностью и высокой обратной связью системы дифференциальных уравнений [2], что приводит к расходимо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сти итерационного процесса. В связи с этим возникает необходимость обращения к неявным схемам, обладающим большей устойчивостью. Однако неявный метод Эйлера, также имеющий первый порядок аппроксимации, не может быть использован в чистом виде вне предиктор-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корректорного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цикла (P(EC)</w:t>
      </w:r>
      <w:r>
        <w:rPr>
          <w:rFonts w:ascii="Times New Roman" w:hAnsi="Times New Roman" w:eastAsia="CMU Serif" w:cs="Times New Roman"/>
          <w:sz w:val="24"/>
          <w:szCs w:val="24"/>
          <w:vertAlign w:val="superscript"/>
        </w:rPr>
        <w:t xml:space="preserve">n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), поскольку в условиях жесткой системы это приводит к накоплению значительной погрешности, неприемлемой для корректного воспроизведения физики процесса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. Т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акже неявный метод Эйлера требует решения уравнения на каждой итерации, что ведет к ро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сту времени вычислений [1]. Метод Рунге-Кутты обеспечивает высокую точность решения и приемлемое быстродействие, однако при его применении необходимо многократно вычислять функции правой части уравнений на каждом шаге [1]. Многошаговые явные методы Адамса-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Башфорта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обеспечивают с ростом порядка хорошую точность, 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при этом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эти методы нельзя использовать самостоятельно, для начала их работы необходимы 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точки,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полученные другим методом [1]. Самым популярным методом решени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я задачи выгорания являются схемы предиктор-корректор, реализованные в ПК 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Serpent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OpenMC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[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3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], в следствие комбинации явного и неявного методов решения системы дифференциальных уравнений они повышают устойчивость и точность в сравнении с чисто явными методами, однако влекут за собой повышение времени вычисления [1].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Программный комплекс MCU реализует схему предиктор-корректор только в режимах константной экстраполяции и линейной 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интерполяции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[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4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]. Программный комплекс 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Serpent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хоть и имеет более широкий диапазон вариантов моделирования задачи выгорания, но не имеет возможности реализовать метод P(EC)</w:t>
      </w:r>
      <w:r>
        <w:rPr>
          <w:rFonts w:ascii="Times New Roman" w:hAnsi="Times New Roman" w:eastAsia="CMU Serif" w:cs="Times New Roman"/>
          <w:sz w:val="24"/>
          <w:szCs w:val="24"/>
          <w:vertAlign w:val="superscript"/>
        </w:rPr>
        <w:t xml:space="preserve">n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в полной мере, так как не поддерживает увеличение количества прохождения этапа корректор, также данный комплекс не может реализовывать вычисления “каск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адом”, то есть итерационный процесс уточнения значений концентрации в i-ой точке путем множественного вычисления концентраций и потока, уточняющих друг друга, что важно для решения поставленной задачи ввиду сильной обратной связи двух уравнений в системе [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]. Также программны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комплекс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ы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требуют загрузки библиотек ядерных данных в оперативную память, что накладывает ограничения на минимальную мощность ЭВМ, используемых для проведения расчетов.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 w14:paraId="40AAC422" w14:textId="3B1DFD47">
      <w:pPr>
        <w:pBdr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Решением этих проблем является использование системы, в которой программные комплексы, реализующие расчет потока нейтронов, работают в статике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не занимая ресурсы ЭВМ постоянно, выгружая потоки нейтронов и скорости реакций, а отдельная программа решает задачу выгорания и определяет концентрации нуклидов в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следующей временной точке, которые снова поступают в программные комплексы для уточнения потока нейтронов в данной точке. Такая схема позволяет использовать численные методы, оптимальные в каждом конкретном случае решения задачи, реализовывать метод P(EC)</w:t>
      </w:r>
      <w:r>
        <w:rPr>
          <w:rFonts w:ascii="Times New Roman" w:hAnsi="Times New Roman" w:eastAsia="CMU Serif" w:cs="Times New Roman"/>
          <w:sz w:val="24"/>
          <w:szCs w:val="24"/>
          <w:vertAlign w:val="superscript"/>
        </w:rPr>
        <w:t xml:space="preserve">n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во всей полноте, а также производить уточнение значений концентраций “каскадом”. Такой подход решает ограничения как самих численных методов, так и программных комплексов.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 w14:paraId="7233109C" w14:textId="77777777">
      <w:pPr>
        <w:pBdr/>
        <w:spacing w:after="0" w:line="240" w:lineRule="auto"/>
        <w:ind w:firstLine="397"/>
        <w:jc w:val="both"/>
        <w:rPr>
          <w:rFonts w:ascii="Times New Roman" w:hAnsi="Times New Roman" w:eastAsia="CMU Serif" w:cs="Times New Roman"/>
          <w:sz w:val="24"/>
          <w:szCs w:val="24"/>
          <w:lang w:val="ru-RU"/>
        </w:rPr>
      </w:pP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Далее представлен алгоритм работы такой схемы: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</w:r>
    </w:p>
    <w:p w14:paraId="2C111CB8" w14:textId="77777777">
      <w:pPr>
        <w:pBdr/>
        <w:spacing w:after="0" w:line="240" w:lineRule="auto"/>
        <w:ind/>
        <w:jc w:val="center"/>
        <w:rPr>
          <w:rFonts w:ascii="Times New Roman" w:hAnsi="Times New Roman" w:eastAsia="CMU Serif" w:cs="Times New Roman"/>
          <w:sz w:val="24"/>
          <w:szCs w:val="24"/>
        </w:rPr>
      </w:pPr>
      <w:r>
        <w:rPr>
          <w:rFonts w:ascii="Times New Roman" w:hAnsi="Times New Roman" w:eastAsia="CMU Serif" w:cs="Times New Roman"/>
          <w:sz w:val="24"/>
          <w:szCs w:val="24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22670" cy="297747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4710165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4022669" cy="2977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16.75pt;height:234.4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CMU Serif" w:cs="Times New Roman"/>
          <w:sz w:val="24"/>
          <w:szCs w:val="24"/>
        </w:rPr>
      </w:r>
      <w:r>
        <w:rPr>
          <w:rFonts w:ascii="Times New Roman" w:hAnsi="Times New Roman" w:eastAsia="CMU Serif" w:cs="Times New Roman"/>
          <w:sz w:val="24"/>
          <w:szCs w:val="24"/>
        </w:rPr>
      </w:r>
    </w:p>
    <w:p w14:paraId="278795FD" w14:textId="19AFC11A">
      <w:pPr>
        <w:pBdr/>
        <w:spacing w:after="0" w:line="240" w:lineRule="auto"/>
        <w:ind/>
        <w:jc w:val="center"/>
        <w:rPr>
          <w:rFonts w:ascii="Times New Roman" w:hAnsi="Times New Roman" w:eastAsia="CMU Serif" w:cs="Times New Roman"/>
          <w:sz w:val="24"/>
          <w:szCs w:val="24"/>
          <w:lang w:val="ru-RU"/>
        </w:rPr>
      </w:pP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Рисунок 1 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Б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лок-схема предложенной системы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</w:r>
    </w:p>
    <w:p w14:paraId="4118871F" w14:textId="77777777">
      <w:pPr>
        <w:pBdr/>
        <w:spacing w:after="0" w:line="240" w:lineRule="auto"/>
        <w:ind w:firstLine="397"/>
        <w:jc w:val="both"/>
        <w:rPr>
          <w:rFonts w:ascii="Times New Roman" w:hAnsi="Times New Roman" w:eastAsia="CMU Serif" w:cs="Times New Roman"/>
          <w:sz w:val="24"/>
          <w:szCs w:val="24"/>
          <w:lang w:val="ru-RU"/>
        </w:rPr>
      </w:pPr>
      <w:r>
        <w:rPr>
          <w:rFonts w:ascii="Times New Roman" w:hAnsi="Times New Roman" w:eastAsia="CMU Serif" w:cs="Times New Roman"/>
          <w:sz w:val="24"/>
          <w:szCs w:val="24"/>
          <w:lang w:val="ru-RU"/>
        </w:rPr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</w:r>
    </w:p>
    <w:p w14:paraId="1791C7E8" w14:textId="7679FE2A">
      <w:pPr>
        <w:pBdr/>
        <w:spacing w:after="0" w:line="240" w:lineRule="auto"/>
        <w:ind/>
        <w:jc w:val="center"/>
        <w:rPr>
          <w:rFonts w:ascii="Times New Roman" w:hAnsi="Times New Roman" w:eastAsia="CMU Serif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CMU Serif" w:cs="Times New Roman"/>
          <w:b/>
          <w:bCs/>
          <w:sz w:val="24"/>
          <w:szCs w:val="24"/>
          <w:lang w:val="ru-RU"/>
        </w:rPr>
        <w:t xml:space="preserve">Литература</w:t>
      </w:r>
      <w:r>
        <w:rPr>
          <w:rFonts w:ascii="Times New Roman" w:hAnsi="Times New Roman" w:eastAsia="CMU Serif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eastAsia="CMU Serif" w:cs="Times New Roman"/>
          <w:b/>
          <w:bCs/>
          <w:sz w:val="24"/>
          <w:szCs w:val="24"/>
          <w:lang w:val="ru-RU"/>
        </w:rPr>
      </w:r>
    </w:p>
    <w:p w14:paraId="4EAEBD36" w14:textId="068FCBA7">
      <w:pPr>
        <w:pStyle w:val="909"/>
        <w:numPr>
          <w:ilvl w:val="0"/>
          <w:numId w:val="1"/>
        </w:numPr>
        <w:pBdr/>
        <w:tabs>
          <w:tab w:val="left" w:leader="none" w:pos="567"/>
        </w:tabs>
        <w:spacing w:after="0" w:line="240" w:lineRule="auto"/>
        <w:ind w:firstLine="426"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Потлова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, Т. А. О сравнительных особенностях методов решения обыкновенных дифференциальных уравнений / Т. А. 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Потлова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, О. В. Захарова, В. И. Раков // Информационные системы и технологии 2015 : Материалы II</w:t>
      </w:r>
      <w:r>
        <w:rPr>
          <w:rFonts w:ascii="Times New Roman" w:hAnsi="Times New Roman" w:eastAsia="CMU Serif" w:cs="Times New Roman"/>
          <w:sz w:val="24"/>
          <w:szCs w:val="24"/>
          <w:lang w:val="ru-RU"/>
        </w:rPr>
        <w:t xml:space="preserve">I Международной научно-технической интернет-конференции, Орел, 01 апреля – 31 2015 года / ФГБОУ ВПО "Государственный университет-учебно-научно-производственный комплекс". – Орел: Общество с ограниченной ответственностью "Стерх", 2015. – С. 4. – EDN UMBMIV.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 w14:paraId="209DA7B9" w14:textId="77777777">
      <w:pPr>
        <w:pStyle w:val="909"/>
        <w:numPr>
          <w:ilvl w:val="0"/>
          <w:numId w:val="1"/>
        </w:numPr>
        <w:pBdr/>
        <w:tabs>
          <w:tab w:val="left" w:leader="none" w:pos="567"/>
        </w:tabs>
        <w:spacing w:after="0" w:line="240" w:lineRule="auto"/>
        <w:ind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MU Serif" w:cs="Times New Roman"/>
          <w:sz w:val="24"/>
          <w:szCs w:val="24"/>
        </w:rPr>
        <w:t xml:space="preserve">Jan </w:t>
      </w:r>
      <w:r>
        <w:rPr>
          <w:rFonts w:ascii="Times New Roman" w:hAnsi="Times New Roman" w:eastAsia="CMU Serif" w:cs="Times New Roman"/>
          <w:sz w:val="24"/>
          <w:szCs w:val="24"/>
        </w:rPr>
        <w:t xml:space="preserve">Dufek</w:t>
      </w:r>
      <w:r>
        <w:rPr>
          <w:rFonts w:ascii="Times New Roman" w:hAnsi="Times New Roman" w:eastAsia="CMU Serif" w:cs="Times New Roman"/>
          <w:sz w:val="24"/>
          <w:szCs w:val="24"/>
        </w:rPr>
        <w:t xml:space="preserve">, Dan </w:t>
      </w:r>
      <w:r>
        <w:rPr>
          <w:rFonts w:ascii="Times New Roman" w:hAnsi="Times New Roman" w:eastAsia="CMU Serif" w:cs="Times New Roman"/>
          <w:sz w:val="24"/>
          <w:szCs w:val="24"/>
        </w:rPr>
        <w:t xml:space="preserve">Kotlyar</w:t>
      </w:r>
      <w:r>
        <w:rPr>
          <w:rFonts w:ascii="Times New Roman" w:hAnsi="Times New Roman" w:eastAsia="CMU Serif" w:cs="Times New Roman"/>
          <w:sz w:val="24"/>
          <w:szCs w:val="24"/>
        </w:rPr>
        <w:t xml:space="preserve">, Eugene </w:t>
      </w:r>
      <w:r>
        <w:rPr>
          <w:rFonts w:ascii="Times New Roman" w:hAnsi="Times New Roman" w:eastAsia="CMU Serif" w:cs="Times New Roman"/>
          <w:sz w:val="24"/>
          <w:szCs w:val="24"/>
        </w:rPr>
        <w:t xml:space="preserve">Shwageraus</w:t>
      </w:r>
      <w:r>
        <w:rPr>
          <w:rFonts w:ascii="Times New Roman" w:hAnsi="Times New Roman" w:eastAsia="CMU Serif" w:cs="Times New Roman"/>
          <w:sz w:val="24"/>
          <w:szCs w:val="24"/>
        </w:rPr>
        <w:t xml:space="preserve">, Jaakko </w:t>
      </w:r>
      <w:r>
        <w:rPr>
          <w:rFonts w:ascii="Times New Roman" w:hAnsi="Times New Roman" w:eastAsia="CMU Serif" w:cs="Times New Roman"/>
          <w:sz w:val="24"/>
          <w:szCs w:val="24"/>
        </w:rPr>
        <w:t xml:space="preserve">Leppänen</w:t>
      </w:r>
      <w:r>
        <w:rPr>
          <w:rFonts w:ascii="Times New Roman" w:hAnsi="Times New Roman" w:eastAsia="CMU Serif" w:cs="Times New Roman"/>
          <w:sz w:val="24"/>
          <w:szCs w:val="24"/>
        </w:rPr>
        <w:t xml:space="preserve">, Numerical stability of the predictor–corrector method in Monte Carlo burnup calculations of critical reactors, Annals of Nuclear Energy, Volume 56, 2013, Pages 34-38, ISSN 0306-4549.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7D911E85" w14:textId="5B97A7A2">
      <w:pPr>
        <w:pStyle w:val="909"/>
        <w:numPr>
          <w:ilvl w:val="0"/>
          <w:numId w:val="1"/>
        </w:numPr>
        <w:pBdr/>
        <w:tabs>
          <w:tab w:val="left" w:leader="none" w:pos="567"/>
        </w:tabs>
        <w:spacing w:after="0" w:line="240" w:lineRule="auto"/>
        <w:ind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Mechthild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Thalhammer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fourth-order commutator-free exponential integrator for nonautonomous differential equations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// </w:t>
      </w:r>
      <w:r>
        <w:rPr>
          <w:rFonts w:ascii="Times New Roman" w:hAnsi="Times New Roman" w:cs="Times New Roman"/>
          <w:sz w:val="24"/>
          <w:szCs w:val="24"/>
        </w:rPr>
        <w:t xml:space="preserve">SIAM Journal on Numerical </w:t>
      </w:r>
      <w:r>
        <w:rPr>
          <w:rFonts w:ascii="Times New Roman" w:hAnsi="Times New Roman" w:cs="Times New Roman"/>
          <w:sz w:val="24"/>
          <w:szCs w:val="24"/>
        </w:rPr>
        <w:t xml:space="preserve">AnalysisVol</w:t>
      </w:r>
      <w:r>
        <w:rPr>
          <w:rFonts w:ascii="Times New Roman" w:hAnsi="Times New Roman" w:cs="Times New Roman"/>
          <w:sz w:val="24"/>
          <w:szCs w:val="24"/>
        </w:rPr>
        <w:t xml:space="preserve">. 44, </w:t>
      </w:r>
      <w:r>
        <w:rPr>
          <w:rFonts w:ascii="Times New Roman" w:hAnsi="Times New Roman" w:cs="Times New Roman"/>
          <w:sz w:val="24"/>
          <w:szCs w:val="24"/>
        </w:rPr>
        <w:t xml:space="preserve">Iss</w:t>
      </w:r>
      <w:r>
        <w:rPr>
          <w:rFonts w:ascii="Times New Roman" w:hAnsi="Times New Roman" w:cs="Times New Roman"/>
          <w:sz w:val="24"/>
          <w:szCs w:val="24"/>
        </w:rPr>
        <w:t xml:space="preserve">. 2 (2006)10.1137/05063042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2FB42647" w14:textId="0132FDA4">
      <w:pPr>
        <w:pStyle w:val="909"/>
        <w:numPr>
          <w:ilvl w:val="0"/>
          <w:numId w:val="1"/>
        </w:numPr>
        <w:pBdr/>
        <w:tabs>
          <w:tab w:val="left" w:leader="none" w:pos="567"/>
        </w:tabs>
        <w:spacing w:after="0" w:line="240" w:lineRule="auto"/>
        <w:ind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Бикеев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А.С.,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Дайченкова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Ю.С., Калугин М.А.,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Шкаровский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Д.А. ОПТИМИЗАЦИЯ ПАРАМЕТРОВ РАСЧЁТНОЙ СХЕМЫ ПРИ МОДЕЛИРОВАНИИ ВЫГОРАНИЯ АКТИВНОЙ ЗОНЫ ВВЭР-1000 ПО ПРЕЦИЗИОННОЙ ПРОГРАММЕ </w:t>
      </w:r>
      <w:r>
        <w:rPr>
          <w:rFonts w:ascii="Times New Roman" w:hAnsi="Times New Roman" w:cs="Times New Roman"/>
          <w:sz w:val="24"/>
          <w:szCs w:val="24"/>
        </w:rPr>
        <w:t xml:space="preserve">MCU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// Вопросы атомной науки и техники. </w:t>
      </w:r>
      <w:r>
        <w:rPr>
          <w:rFonts w:ascii="Times New Roman" w:hAnsi="Times New Roman" w:cs="Times New Roman"/>
          <w:sz w:val="24"/>
          <w:szCs w:val="24"/>
        </w:rPr>
        <w:t xml:space="preserve">Серия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Ядерно-реакторные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константы</w:t>
      </w:r>
      <w:r>
        <w:rPr>
          <w:rFonts w:ascii="Times New Roman" w:hAnsi="Times New Roman" w:cs="Times New Roman"/>
          <w:sz w:val="24"/>
          <w:szCs w:val="24"/>
        </w:rPr>
        <w:t xml:space="preserve">, 2018, </w:t>
      </w:r>
      <w:r>
        <w:rPr>
          <w:rFonts w:ascii="Times New Roman" w:hAnsi="Times New Roman" w:cs="Times New Roman"/>
          <w:sz w:val="24"/>
          <w:szCs w:val="24"/>
        </w:rPr>
        <w:t xml:space="preserve">выпуск</w:t>
      </w:r>
      <w:r>
        <w:rPr>
          <w:rFonts w:ascii="Times New Roman" w:hAnsi="Times New Roman" w:cs="Times New Roman"/>
          <w:sz w:val="24"/>
          <w:szCs w:val="24"/>
        </w:rPr>
        <w:t xml:space="preserve"> 4, с. 5-14.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6829E27D" w14:textId="6F22472C">
      <w:pPr>
        <w:pStyle w:val="909"/>
        <w:numPr>
          <w:ilvl w:val="0"/>
          <w:numId w:val="1"/>
        </w:numPr>
        <w:pBdr/>
        <w:tabs>
          <w:tab w:val="left" w:leader="none" w:pos="567"/>
        </w:tabs>
        <w:spacing w:after="0" w:line="240" w:lineRule="auto"/>
        <w:ind w:firstLine="426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Leppänen</w:t>
      </w:r>
      <w:r>
        <w:rPr>
          <w:rFonts w:ascii="Times New Roman" w:hAnsi="Times New Roman" w:cs="Times New Roman"/>
          <w:sz w:val="24"/>
          <w:szCs w:val="24"/>
        </w:rPr>
        <w:t xml:space="preserve">, J., &amp; </w:t>
      </w:r>
      <w:r>
        <w:rPr>
          <w:rFonts w:ascii="Times New Roman" w:hAnsi="Times New Roman" w:cs="Times New Roman"/>
          <w:sz w:val="24"/>
          <w:szCs w:val="24"/>
        </w:rPr>
        <w:t xml:space="preserve">Isotalo</w:t>
      </w:r>
      <w:r>
        <w:rPr>
          <w:rFonts w:ascii="Times New Roman" w:hAnsi="Times New Roman" w:cs="Times New Roman"/>
          <w:sz w:val="24"/>
          <w:szCs w:val="24"/>
        </w:rPr>
        <w:t xml:space="preserve">, A. (2012). Burnup calculation methodology in the serpent 2 Monte Carlo code. In Proceedings: International Conference on the Physics of Reactors 2012: Advances in Reactor Physics, PHYSOR 2012 (Vol. 2, pp. 924-935). American Nuclear Society (ANS).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5840" w:orient="portrait" w:w="12240"/>
      <w:pgMar w:top="1133" w:right="1361" w:bottom="1133" w:left="136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87ADB17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4CDA19EC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MU Serif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E225A15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06595223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670DD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730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4">
    <w:name w:val="Heading 2 Char"/>
    <w:basedOn w:val="730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5">
    <w:name w:val="Heading 3 Char"/>
    <w:basedOn w:val="730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6">
    <w:name w:val="Heading 4 Char"/>
    <w:basedOn w:val="730"/>
    <w:link w:val="72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7">
    <w:name w:val="Heading 5 Char"/>
    <w:basedOn w:val="730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8">
    <w:name w:val="Heading 6 Char"/>
    <w:basedOn w:val="730"/>
    <w:link w:val="7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9">
    <w:name w:val="Heading 7 Char"/>
    <w:basedOn w:val="730"/>
    <w:link w:val="7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0">
    <w:name w:val="Heading 8 Char"/>
    <w:basedOn w:val="730"/>
    <w:link w:val="7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1">
    <w:name w:val="Heading 9 Char"/>
    <w:basedOn w:val="730"/>
    <w:link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2">
    <w:name w:val="Title Char"/>
    <w:basedOn w:val="730"/>
    <w:link w:val="8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3">
    <w:name w:val="Subtitle Char"/>
    <w:basedOn w:val="730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4">
    <w:name w:val="Quote Char"/>
    <w:basedOn w:val="730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5">
    <w:name w:val="Intense Quote Char"/>
    <w:basedOn w:val="730"/>
    <w:link w:val="8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Header Char"/>
    <w:basedOn w:val="730"/>
    <w:link w:val="883"/>
    <w:uiPriority w:val="99"/>
    <w:pPr>
      <w:pBdr/>
      <w:spacing/>
      <w:ind/>
    </w:pPr>
  </w:style>
  <w:style w:type="character" w:styleId="717">
    <w:name w:val="Footer Char"/>
    <w:basedOn w:val="730"/>
    <w:link w:val="885"/>
    <w:uiPriority w:val="99"/>
    <w:pPr>
      <w:pBdr/>
      <w:spacing/>
      <w:ind/>
    </w:pPr>
  </w:style>
  <w:style w:type="character" w:styleId="718">
    <w:name w:val="Footnote Text Char"/>
    <w:basedOn w:val="730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719">
    <w:name w:val="Endnote Text Char"/>
    <w:basedOn w:val="730"/>
    <w:link w:val="891"/>
    <w:uiPriority w:val="99"/>
    <w:semiHidden/>
    <w:pPr>
      <w:pBdr/>
      <w:spacing/>
      <w:ind/>
    </w:pPr>
    <w:rPr>
      <w:sz w:val="20"/>
      <w:szCs w:val="20"/>
    </w:rPr>
  </w:style>
  <w:style w:type="paragraph" w:styleId="720" w:default="1">
    <w:name w:val="Normal"/>
    <w:qFormat/>
    <w:pPr>
      <w:pBdr/>
      <w:spacing/>
      <w:ind/>
    </w:pPr>
  </w:style>
  <w:style w:type="paragraph" w:styleId="721">
    <w:name w:val="Heading 1"/>
    <w:basedOn w:val="720"/>
    <w:next w:val="720"/>
    <w:link w:val="85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22">
    <w:name w:val="Heading 2"/>
    <w:basedOn w:val="720"/>
    <w:next w:val="720"/>
    <w:link w:val="86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23">
    <w:name w:val="Heading 3"/>
    <w:basedOn w:val="720"/>
    <w:next w:val="720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24">
    <w:name w:val="Heading 4"/>
    <w:basedOn w:val="720"/>
    <w:next w:val="720"/>
    <w:link w:val="86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25">
    <w:name w:val="Heading 5"/>
    <w:basedOn w:val="720"/>
    <w:next w:val="720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26">
    <w:name w:val="Heading 6"/>
    <w:basedOn w:val="720"/>
    <w:next w:val="720"/>
    <w:link w:val="86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7">
    <w:name w:val="Heading 7"/>
    <w:basedOn w:val="720"/>
    <w:next w:val="720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8">
    <w:name w:val="Heading 8"/>
    <w:basedOn w:val="720"/>
    <w:next w:val="720"/>
    <w:link w:val="86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9">
    <w:name w:val="Heading 9"/>
    <w:basedOn w:val="720"/>
    <w:next w:val="720"/>
    <w:link w:val="86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table" w:styleId="733">
    <w:name w:val="Table Grid"/>
    <w:basedOn w:val="73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Table Grid Light"/>
    <w:basedOn w:val="73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73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73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1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2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3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4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5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6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9" w:customStyle="1">
    <w:name w:val="Заголовок 1 Знак"/>
    <w:basedOn w:val="730"/>
    <w:link w:val="72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60" w:customStyle="1">
    <w:name w:val="Заголовок 2 Знак"/>
    <w:basedOn w:val="730"/>
    <w:link w:val="72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61" w:customStyle="1">
    <w:name w:val="Заголовок 3 Знак"/>
    <w:basedOn w:val="730"/>
    <w:link w:val="72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62" w:customStyle="1">
    <w:name w:val="Заголовок 4 Знак"/>
    <w:basedOn w:val="730"/>
    <w:link w:val="72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63" w:customStyle="1">
    <w:name w:val="Заголовок 5 Знак"/>
    <w:basedOn w:val="730"/>
    <w:link w:val="72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64" w:customStyle="1">
    <w:name w:val="Заголовок 6 Знак"/>
    <w:basedOn w:val="730"/>
    <w:link w:val="7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5" w:customStyle="1">
    <w:name w:val="Заголовок 7 Знак"/>
    <w:basedOn w:val="730"/>
    <w:link w:val="7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6" w:customStyle="1">
    <w:name w:val="Заголовок 8 Знак"/>
    <w:basedOn w:val="730"/>
    <w:link w:val="7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7" w:customStyle="1">
    <w:name w:val="Заголовок 9 Знак"/>
    <w:basedOn w:val="730"/>
    <w:link w:val="7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Title"/>
    <w:basedOn w:val="720"/>
    <w:next w:val="720"/>
    <w:link w:val="86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9" w:customStyle="1">
    <w:name w:val="Заголовок Знак"/>
    <w:basedOn w:val="730"/>
    <w:link w:val="8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0">
    <w:name w:val="Subtitle"/>
    <w:basedOn w:val="720"/>
    <w:next w:val="720"/>
    <w:link w:val="8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1" w:customStyle="1">
    <w:name w:val="Подзаголовок Знак"/>
    <w:basedOn w:val="730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2">
    <w:name w:val="Quote"/>
    <w:basedOn w:val="720"/>
    <w:next w:val="720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 w:customStyle="1">
    <w:name w:val="Цитата 2 Знак"/>
    <w:basedOn w:val="730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Intense Emphasis"/>
    <w:basedOn w:val="730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75">
    <w:name w:val="Intense Quote"/>
    <w:basedOn w:val="720"/>
    <w:next w:val="720"/>
    <w:link w:val="876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6" w:customStyle="1">
    <w:name w:val="Выделенная цитата Знак"/>
    <w:basedOn w:val="730"/>
    <w:link w:val="875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7">
    <w:name w:val="Intense Reference"/>
    <w:basedOn w:val="730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8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880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881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2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3">
    <w:name w:val="Header"/>
    <w:basedOn w:val="720"/>
    <w:link w:val="88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4" w:customStyle="1">
    <w:name w:val="Верхний колонтитул Знак"/>
    <w:basedOn w:val="730"/>
    <w:link w:val="883"/>
    <w:uiPriority w:val="99"/>
    <w:pPr>
      <w:pBdr/>
      <w:spacing/>
      <w:ind/>
    </w:pPr>
  </w:style>
  <w:style w:type="paragraph" w:styleId="885">
    <w:name w:val="Footer"/>
    <w:basedOn w:val="720"/>
    <w:link w:val="8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6" w:customStyle="1">
    <w:name w:val="Нижний колонтитул Знак"/>
    <w:basedOn w:val="730"/>
    <w:link w:val="885"/>
    <w:uiPriority w:val="99"/>
    <w:pPr>
      <w:pBdr/>
      <w:spacing/>
      <w:ind/>
    </w:pPr>
  </w:style>
  <w:style w:type="paragraph" w:styleId="887">
    <w:name w:val="Caption"/>
    <w:basedOn w:val="720"/>
    <w:next w:val="720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888">
    <w:name w:val="footnote text"/>
    <w:basedOn w:val="720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 w:customStyle="1">
    <w:name w:val="Текст сноски Знак"/>
    <w:basedOn w:val="730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720"/>
    <w:link w:val="8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2" w:customStyle="1">
    <w:name w:val="Текст концевой сноски Знак"/>
    <w:basedOn w:val="730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894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5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6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897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898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899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900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901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902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903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904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905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720"/>
    <w:next w:val="720"/>
    <w:uiPriority w:val="99"/>
    <w:unhideWhenUsed/>
    <w:pPr>
      <w:pBdr/>
      <w:spacing w:after="0"/>
      <w:ind/>
    </w:pPr>
  </w:style>
  <w:style w:type="paragraph" w:styleId="908">
    <w:name w:val="No Spacing"/>
    <w:basedOn w:val="720"/>
    <w:uiPriority w:val="1"/>
    <w:qFormat/>
    <w:pPr>
      <w:pBdr/>
      <w:spacing w:after="0" w:line="240" w:lineRule="auto"/>
      <w:ind/>
    </w:pPr>
  </w:style>
  <w:style w:type="paragraph" w:styleId="909">
    <w:name w:val="List Paragraph"/>
    <w:basedOn w:val="72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dolinoffdima@gmail.com" TargetMode="External"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>diakov.net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Vnukov R.</dc:creator>
  <cp:revision>4</cp:revision>
  <dcterms:created xsi:type="dcterms:W3CDTF">2026-03-01T14:42:00Z</dcterms:created>
  <dcterms:modified xsi:type="dcterms:W3CDTF">2026-03-01T19:02:30Z</dcterms:modified>
</cp:coreProperties>
</file>