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8F101BB">
      <w:pPr>
        <w:spacing w:line="240" w:lineRule="auto"/>
        <w:ind w:left="397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hint="default" w:ascii="Times New Roman" w:hAnsi="Times New Roman" w:cs="Times New Roman"/>
          <w:b/>
          <w:sz w:val="24"/>
          <w:szCs w:val="24"/>
        </w:rPr>
        <w:t xml:space="preserve">Моделирование внутрипучкового рассеяния с точки зрения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одно</w:t>
      </w:r>
      <w:r>
        <w:rPr>
          <w:rFonts w:hint="default" w:ascii="Times New Roman" w:hAnsi="Times New Roman" w:cs="Times New Roman"/>
          <w:b/>
          <w:sz w:val="24"/>
          <w:szCs w:val="24"/>
        </w:rPr>
        <w:t>частичного взаимодействия электронов.</w:t>
      </w:r>
      <w:bookmarkEnd w:id="0"/>
    </w:p>
    <w:p w14:paraId="56DAB30A">
      <w:pPr>
        <w:spacing w:line="240" w:lineRule="auto"/>
        <w:ind w:left="397" w:firstLine="0"/>
        <w:jc w:val="center"/>
        <w:rPr>
          <w:rFonts w:hint="default" w:ascii="Times New Roman" w:hAnsi="Times New Roman" w:cs="Times New Roman"/>
          <w:b/>
          <w:bCs/>
          <w:i/>
          <w:iCs/>
          <w:sz w:val="24"/>
          <w:szCs w:val="24"/>
          <w:vertAlign w:val="superscript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Федорова М.А.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vertAlign w:val="superscript"/>
          <w:lang w:val="ru-RU"/>
        </w:rPr>
        <w:t>1,а</w:t>
      </w:r>
      <w:r>
        <w:rPr>
          <w:rFonts w:hint="default" w:ascii="Times New Roman" w:hAnsi="Times New Roman" w:cs="Times New Roman"/>
          <w:b/>
          <w:bCs/>
          <w:i/>
          <w:iCs/>
          <w:position w:val="0"/>
          <w:sz w:val="24"/>
          <w:szCs w:val="24"/>
          <w:vertAlign w:val="baseline"/>
          <w:lang w:val="ru-RU"/>
        </w:rPr>
        <w:t>, Шведунов В. И.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vertAlign w:val="superscript"/>
          <w:lang w:val="ru-RU"/>
        </w:rPr>
        <w:t>2,б</w:t>
      </w:r>
      <w:r>
        <w:rPr>
          <w:rFonts w:hint="default" w:ascii="Times New Roman" w:hAnsi="Times New Roman" w:cs="Times New Roman"/>
          <w:b/>
          <w:bCs/>
          <w:i/>
          <w:iCs/>
          <w:position w:val="0"/>
          <w:sz w:val="24"/>
          <w:szCs w:val="24"/>
          <w:vertAlign w:val="baseline"/>
          <w:lang w:val="ru-RU"/>
        </w:rPr>
        <w:t>, Бобылев Д.А.</w:t>
      </w:r>
      <w:r>
        <w:rPr>
          <w:rFonts w:hint="default" w:ascii="Times New Roman" w:hAnsi="Times New Roman" w:cs="Times New Roman"/>
          <w:b/>
          <w:bCs/>
          <w:i/>
          <w:iCs/>
          <w:position w:val="0"/>
          <w:sz w:val="24"/>
          <w:szCs w:val="24"/>
          <w:vertAlign w:val="superscript"/>
          <w:lang w:val="ru-RU"/>
        </w:rPr>
        <w:t>1,2,в</w:t>
      </w:r>
    </w:p>
    <w:p w14:paraId="10EC5E23">
      <w:pPr>
        <w:spacing w:line="240" w:lineRule="auto"/>
        <w:ind w:left="397" w:firstLine="0"/>
        <w:jc w:val="center"/>
        <w:rPr>
          <w:rFonts w:hint="default" w:ascii="Times New Roman" w:hAnsi="Times New Roman" w:cs="Times New Roman"/>
          <w:b/>
          <w:bCs/>
          <w:i/>
          <w:iCs/>
          <w:sz w:val="24"/>
          <w:szCs w:val="24"/>
          <w:vertAlign w:val="superscript"/>
          <w:lang w:val="ru-RU"/>
        </w:rPr>
      </w:pPr>
      <w:r>
        <w:rPr>
          <w:rFonts w:hint="default" w:ascii="Times New Roman" w:hAnsi="Times New Roman" w:cs="Times New Roman"/>
          <w:i/>
          <w:sz w:val="24"/>
          <w:szCs w:val="24"/>
          <w:vertAlign w:val="superscript"/>
          <w:lang w:val="ru-RU"/>
        </w:rPr>
        <w:t>а</w:t>
      </w:r>
      <w:r>
        <w:rPr>
          <w:rFonts w:hint="default" w:ascii="Times New Roman" w:hAnsi="Times New Roman" w:cs="Times New Roman"/>
          <w:i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i/>
          <w:sz w:val="24"/>
          <w:szCs w:val="24"/>
        </w:rPr>
        <w:t>тудент (</w:t>
      </w:r>
      <w:r>
        <w:rPr>
          <w:rFonts w:hint="default" w:ascii="Times New Roman" w:hAnsi="Times New Roman" w:cs="Times New Roman"/>
          <w:i/>
          <w:sz w:val="24"/>
          <w:szCs w:val="24"/>
          <w:lang w:val="ru-RU"/>
        </w:rPr>
        <w:t>специалист</w:t>
      </w:r>
      <w:r>
        <w:rPr>
          <w:rFonts w:hint="default" w:ascii="Times New Roman" w:hAnsi="Times New Roman" w:cs="Times New Roman"/>
          <w:i/>
          <w:sz w:val="24"/>
          <w:szCs w:val="24"/>
        </w:rPr>
        <w:t>)</w:t>
      </w:r>
      <w:r>
        <w:rPr>
          <w:rFonts w:hint="default" w:ascii="Times New Roman" w:hAnsi="Times New Roman" w:cs="Times New Roman"/>
          <w:i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i/>
          <w:sz w:val="24"/>
          <w:szCs w:val="24"/>
          <w:vertAlign w:val="superscript"/>
          <w:lang w:val="ru-RU"/>
        </w:rPr>
        <w:t>б</w:t>
      </w:r>
      <w:r>
        <w:rPr>
          <w:rFonts w:hint="default" w:ascii="Times New Roman" w:hAnsi="Times New Roman" w:cs="Times New Roman"/>
          <w:i/>
          <w:sz w:val="24"/>
          <w:szCs w:val="24"/>
          <w:lang w:val="ru-RU"/>
        </w:rPr>
        <w:t xml:space="preserve">д-р ф.-м. н, проф, </w:t>
      </w:r>
      <w:r>
        <w:rPr>
          <w:rFonts w:hint="default" w:ascii="Times New Roman" w:hAnsi="Times New Roman" w:cs="Times New Roman"/>
          <w:i/>
          <w:sz w:val="24"/>
          <w:szCs w:val="24"/>
          <w:vertAlign w:val="superscript"/>
          <w:lang w:val="ru-RU"/>
        </w:rPr>
        <w:t>в</w:t>
      </w:r>
      <w:r>
        <w:rPr>
          <w:rFonts w:hint="default" w:ascii="Times New Roman" w:hAnsi="Times New Roman" w:cs="Times New Roman"/>
          <w:i/>
          <w:sz w:val="24"/>
          <w:szCs w:val="24"/>
          <w:lang w:val="ru-RU"/>
        </w:rPr>
        <w:t>аспирант</w:t>
      </w:r>
    </w:p>
    <w:p w14:paraId="6CCEEBB5">
      <w:pPr>
        <w:widowControl w:val="0"/>
        <w:spacing w:before="0" w:after="120"/>
        <w:jc w:val="center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Московский государственный университет имени М. В. Ломоносова,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физический факультет, Москва, Россия,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Московский государственный университет имени М. В. Ломоносова 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Научно-исследовательский институт ядерной физики имени Д. В. Скобельцына,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Москва, Россия</w:t>
      </w:r>
    </w:p>
    <w:p w14:paraId="4147D6CD">
      <w:pPr>
        <w:numPr>
          <w:ilvl w:val="0"/>
          <w:numId w:val="11"/>
        </w:numPr>
        <w:spacing w:line="240" w:lineRule="auto"/>
        <w:jc w:val="center"/>
        <w:rPr>
          <w:rFonts w:hint="default" w:ascii="Times New Roman" w:hAnsi="Times New Roman" w:cs="Times New Roman"/>
          <w:i/>
          <w:iCs w:val="0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i/>
          <w:sz w:val="24"/>
          <w:szCs w:val="24"/>
          <w:lang w:val="en-US"/>
        </w:rPr>
        <w:t>mail:</w:t>
      </w:r>
      <w:r>
        <w:rPr>
          <w:rFonts w:hint="default" w:ascii="Times New Roman" w:hAnsi="Times New Roman" w:cs="Times New Roman"/>
          <w:i/>
          <w:iCs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 w:val="0"/>
          <w:sz w:val="24"/>
          <w:szCs w:val="24"/>
        </w:rPr>
        <w:t>fedorova.ma22@physics.msu.ru</w:t>
      </w:r>
    </w:p>
    <w:p w14:paraId="6398D88F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733E210">
      <w:pPr>
        <w:spacing w:line="240" w:lineRule="auto"/>
        <w:ind w:firstLine="42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Внутрипучковое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рассеяние - процесс, который играет важную роль в динамике пучка в накопительных кольцах электронов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2-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5]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Особое влияние на электронный пучок этот эффект оказывает при низких энергиях электронов (десятки - сотни МэВ). К примеру, в проектируемом «малом» накопительном кольце ИКИ НЦФМ (Саров)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]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внутрипучковое рассеяние приводит к резкому увеличению эмиттанса и, соответственно, столь же резкому падению выхода комптоновского излучения в течение от десятков до сотен миллисекунд. Это требует частой смены сгустков электронов в накопительном кольце, что является серьёзным вызовом для работы ускорителя и системы инжекции. По этой причине расчет и моделирование эффекта внутрипучкового рассеяния является важной задачей при проектировании накопительных колец. В большинстве современных исследований внутрипучковое рассеяние рассчитывается по формулам Бьёркена-Мтингвы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[3]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 Однако расчет по этим формулам, во-первых, требует больших вычислительных мощностей, а, во-вторых, имеет дело с пучком как с целым, не рассматривая динамику отдельных частиц, что приводит к приближенным и усреднённым результатам расчётов.</w:t>
      </w:r>
    </w:p>
    <w:p w14:paraId="46C45FB6">
      <w:pPr>
        <w:spacing w:line="240" w:lineRule="auto"/>
        <w:ind w:firstLine="42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40E3B67"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***</w:t>
      </w:r>
    </w:p>
    <w:p w14:paraId="15C3E8F8"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652522B">
      <w:pPr>
        <w:spacing w:line="240" w:lineRule="auto"/>
        <w:ind w:firstLine="42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данной работе исследуется вопрос описания внутрипучкового рассеяния с точки зрения одночастичного взаимодействия электронов в пучке. Особое внимание уделено определению положения границ, после которых начинает быть применим статистический подход в описании. Приведены результаты расчетов роста эмиттанса при заданных параметрах пучка. Данные результаты сравниваются с результатами расчёта по формулам Бьёркена-Мтингвы.</w:t>
      </w:r>
    </w:p>
    <w:p w14:paraId="443F5578">
      <w:pPr>
        <w:spacing w:line="240" w:lineRule="auto"/>
        <w:ind w:firstLine="42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F9BE08C">
      <w:pPr>
        <w:pStyle w:val="90"/>
        <w:keepNext w:val="0"/>
        <w:keepLines w:val="0"/>
        <w:widowControl/>
        <w:suppressLineNumbers w:val="0"/>
        <w:spacing w:before="192" w:beforeAutospacing="0" w:after="192" w:afterAutospacing="0" w:line="336" w:lineRule="atLeast"/>
        <w:ind w:right="0"/>
        <w:jc w:val="both"/>
        <w:rPr>
          <w:rFonts w:hint="default" w:ascii="Times New Roman" w:hAnsi="Times New Roman" w:eastAsia="Segoe UI" w:cs="Times New Roman"/>
          <w:color w:val="0F1115"/>
          <w:sz w:val="24"/>
          <w:szCs w:val="24"/>
        </w:rPr>
      </w:pPr>
    </w:p>
    <w:p w14:paraId="1D07661A">
      <w:pPr>
        <w:pStyle w:val="90"/>
        <w:keepNext w:val="0"/>
        <w:keepLines w:val="0"/>
        <w:widowControl/>
        <w:suppressLineNumbers w:val="0"/>
        <w:spacing w:before="192" w:beforeAutospacing="0" w:after="192" w:afterAutospacing="0" w:line="336" w:lineRule="atLeast"/>
        <w:ind w:right="0"/>
        <w:jc w:val="both"/>
        <w:rPr>
          <w:rFonts w:hint="default" w:ascii="Times New Roman" w:hAnsi="Times New Roman" w:eastAsia="Segoe UI" w:cs="Times New Roman"/>
          <w:color w:val="0F1115"/>
          <w:sz w:val="24"/>
          <w:szCs w:val="24"/>
        </w:rPr>
      </w:pPr>
    </w:p>
    <w:p w14:paraId="21B11EA8"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Литература</w:t>
      </w:r>
    </w:p>
    <w:p w14:paraId="054BDE9F">
      <w:pPr>
        <w:numPr>
          <w:ilvl w:val="0"/>
          <w:numId w:val="12"/>
        </w:numPr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Штеффен К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Оптика пучков высокой энергии</w:t>
      </w:r>
      <w:r>
        <w:rPr>
          <w:rFonts w:hint="default" w:ascii="Times New Roman" w:hAnsi="Times New Roman" w:cs="Times New Roman"/>
          <w:sz w:val="24"/>
          <w:szCs w:val="24"/>
        </w:rPr>
        <w:t xml:space="preserve">.//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М.: Мир</w:t>
      </w:r>
      <w:r>
        <w:rPr>
          <w:rFonts w:hint="default" w:ascii="Times New Roman" w:hAnsi="Times New Roman" w:cs="Times New Roman"/>
          <w:sz w:val="24"/>
          <w:szCs w:val="24"/>
        </w:rPr>
        <w:t>, 19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69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</w:p>
    <w:p w14:paraId="490B4219">
      <w:pPr>
        <w:numPr>
          <w:ilvl w:val="0"/>
          <w:numId w:val="12"/>
        </w:numPr>
        <w:spacing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Бобылев Д.А., Шведунов В.И. Накопительное кольцо комптоновского источника НЦФМ.// Вестник Московского университета. Серия 3. 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ab/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Физика. Астрономия. - 2024 - №2</w:t>
      </w:r>
    </w:p>
    <w:p w14:paraId="168439D3">
      <w:pPr>
        <w:numPr>
          <w:ilvl w:val="0"/>
          <w:numId w:val="12"/>
        </w:num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Bjorken J., Mtingwa S. // Intrabeam scattering. Particle accelerators. 1983 Vol.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13 pp. 115-143.</w:t>
      </w:r>
    </w:p>
    <w:p w14:paraId="594F71EC">
      <w:pPr>
        <w:numPr>
          <w:ilvl w:val="0"/>
          <w:numId w:val="12"/>
        </w:num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Wolski A. // Space charge, intrabeam scattering and Touschek effects. Lecture 7. USPAS 2007. Texas. Damping ring design and physics issues.</w:t>
      </w:r>
    </w:p>
    <w:p w14:paraId="49A4E3B7">
      <w:pPr>
        <w:numPr>
          <w:ilvl w:val="0"/>
          <w:numId w:val="12"/>
        </w:num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Bane K. // Intra-beam scattering theory and measurements. LER2011 Workshop. Heraklion. Crete. 2011.</w:t>
      </w:r>
    </w:p>
    <w:p w14:paraId="4C6C0B3A">
      <w:pPr>
        <w:numPr>
          <w:ilvl w:val="0"/>
          <w:numId w:val="12"/>
        </w:num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Григоренко Л.В., и др. Проект научной пррграммы ИНОК — комптоновского источника монохроматических гамма-квантов НЦФМ // ФИЗМАТ. - 2024. - Т. 1. - № 3-4. - С. 123-264</w:t>
      </w:r>
    </w:p>
    <w:p w14:paraId="5BD989D7">
      <w:pPr>
        <w:pStyle w:val="152"/>
        <w:numPr>
          <w:numId w:val="0"/>
        </w:numPr>
        <w:spacing w:line="240" w:lineRule="auto"/>
        <w:ind w:left="360" w:leftChars="0"/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779DB288"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37BA3F44"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DCEA40"/>
    <w:multiLevelType w:val="singleLevel"/>
    <w:tmpl w:val="CBDCEA40"/>
    <w:lvl w:ilvl="0" w:tentative="0">
      <w:start w:val="5"/>
      <w:numFmt w:val="upperLetter"/>
      <w:suff w:val="nothing"/>
      <w:lvlText w:val="%1-"/>
      <w:lvlJc w:val="left"/>
    </w:lvl>
  </w:abstractNum>
  <w:abstractNum w:abstractNumId="1">
    <w:nsid w:val="EEC4972F"/>
    <w:multiLevelType w:val="singleLevel"/>
    <w:tmpl w:val="EEC4972F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3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4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5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6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7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8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9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10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1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1"/>
  </w:num>
  <w:num w:numId="7">
    <w:abstractNumId w:val="9"/>
  </w:num>
  <w:num w:numId="8">
    <w:abstractNumId w:val="8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AF7A4F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F8755D4"/>
    <w:rsid w:val="2EAF7A4F"/>
    <w:rsid w:val="3B386D14"/>
    <w:rsid w:val="3CB77E44"/>
    <w:rsid w:val="3D2E204C"/>
    <w:rsid w:val="53C65ABC"/>
    <w:rsid w:val="712A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endnote reference"/>
    <w:basedOn w:val="11"/>
    <w:uiPriority w:val="0"/>
    <w:rPr>
      <w:vertAlign w:val="superscript"/>
    </w:rPr>
  </w:style>
  <w:style w:type="character" w:styleId="18">
    <w:name w:val="HTML Acronym"/>
    <w:basedOn w:val="11"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uiPriority w:val="0"/>
  </w:style>
  <w:style w:type="character" w:styleId="24">
    <w:name w:val="line number"/>
    <w:basedOn w:val="11"/>
    <w:uiPriority w:val="0"/>
  </w:style>
  <w:style w:type="character" w:styleId="25">
    <w:name w:val="HTML Definition"/>
    <w:basedOn w:val="11"/>
    <w:uiPriority w:val="0"/>
    <w:rPr>
      <w:i/>
      <w:iCs/>
    </w:rPr>
  </w:style>
  <w:style w:type="character" w:styleId="26">
    <w:name w:val="HTML Variable"/>
    <w:basedOn w:val="11"/>
    <w:uiPriority w:val="0"/>
    <w:rPr>
      <w:i/>
      <w:iCs/>
    </w:rPr>
  </w:style>
  <w:style w:type="character" w:styleId="27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uiPriority w:val="0"/>
    <w:rPr>
      <w:i/>
      <w:iCs/>
    </w:rPr>
  </w:style>
  <w:style w:type="paragraph" w:styleId="30">
    <w:name w:val="Balloon Text"/>
    <w:basedOn w:val="1"/>
    <w:uiPriority w:val="0"/>
    <w:rPr>
      <w:sz w:val="16"/>
      <w:szCs w:val="16"/>
    </w:rPr>
  </w:style>
  <w:style w:type="paragraph" w:styleId="31">
    <w:name w:val="List 5"/>
    <w:basedOn w:val="1"/>
    <w:uiPriority w:val="0"/>
    <w:pPr>
      <w:ind w:left="1800" w:hanging="360"/>
    </w:pPr>
  </w:style>
  <w:style w:type="paragraph" w:styleId="32">
    <w:name w:val="List Continue"/>
    <w:basedOn w:val="1"/>
    <w:uiPriority w:val="0"/>
    <w:pPr>
      <w:spacing w:after="120"/>
      <w:ind w:left="360"/>
    </w:pPr>
  </w:style>
  <w:style w:type="paragraph" w:styleId="33">
    <w:name w:val="Body Text 2"/>
    <w:basedOn w:val="1"/>
    <w:uiPriority w:val="0"/>
    <w:pPr>
      <w:spacing w:after="120" w:line="480" w:lineRule="auto"/>
    </w:pPr>
  </w:style>
  <w:style w:type="paragraph" w:styleId="34">
    <w:name w:val="List Number 5"/>
    <w:basedOn w:val="1"/>
    <w:uiPriority w:val="0"/>
    <w:pPr>
      <w:numPr>
        <w:ilvl w:val="0"/>
        <w:numId w:val="1"/>
      </w:numPr>
    </w:pPr>
  </w:style>
  <w:style w:type="paragraph" w:styleId="35">
    <w:name w:val="Closing"/>
    <w:basedOn w:val="1"/>
    <w:uiPriority w:val="0"/>
    <w:pPr>
      <w:ind w:left="4320"/>
    </w:pPr>
  </w:style>
  <w:style w:type="paragraph" w:styleId="36">
    <w:name w:val="Normal Indent"/>
    <w:basedOn w:val="1"/>
    <w:uiPriority w:val="0"/>
    <w:pPr>
      <w:ind w:left="708"/>
    </w:pPr>
  </w:style>
  <w:style w:type="paragraph" w:styleId="37">
    <w:name w:val="envelope return"/>
    <w:basedOn w:val="1"/>
    <w:uiPriority w:val="0"/>
    <w:rPr>
      <w:rFonts w:ascii="Arial" w:hAnsi="Arial" w:cs="Arial"/>
      <w:sz w:val="20"/>
    </w:rPr>
  </w:style>
  <w:style w:type="paragraph" w:styleId="38">
    <w:name w:val="Plain Text"/>
    <w:basedOn w:val="1"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uiPriority w:val="0"/>
  </w:style>
  <w:style w:type="paragraph" w:styleId="44">
    <w:name w:val="annotation subject"/>
    <w:basedOn w:val="42"/>
    <w:next w:val="42"/>
    <w:uiPriority w:val="0"/>
    <w:rPr>
      <w:b/>
      <w:bCs/>
    </w:rPr>
  </w:style>
  <w:style w:type="paragraph" w:styleId="45">
    <w:name w:val="Document Map"/>
    <w:basedOn w:val="1"/>
    <w:uiPriority w:val="0"/>
    <w:pPr>
      <w:shd w:val="clear" w:color="auto" w:fill="000080"/>
    </w:pPr>
  </w:style>
  <w:style w:type="paragraph" w:styleId="4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uiPriority w:val="0"/>
    <w:pPr>
      <w:ind w:left="2940" w:leftChars="1400"/>
    </w:pPr>
  </w:style>
  <w:style w:type="paragraph" w:styleId="48">
    <w:name w:val="index 2"/>
    <w:basedOn w:val="1"/>
    <w:next w:val="1"/>
    <w:uiPriority w:val="0"/>
    <w:pPr>
      <w:ind w:left="200" w:leftChars="200"/>
    </w:pPr>
  </w:style>
  <w:style w:type="paragraph" w:styleId="49">
    <w:name w:val="List Number 3"/>
    <w:basedOn w:val="1"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uiPriority w:val="0"/>
    <w:pPr>
      <w:ind w:left="400" w:leftChars="400"/>
    </w:pPr>
  </w:style>
  <w:style w:type="paragraph" w:styleId="53">
    <w:name w:val="index 5"/>
    <w:basedOn w:val="1"/>
    <w:next w:val="1"/>
    <w:uiPriority w:val="0"/>
    <w:pPr>
      <w:ind w:left="800" w:leftChars="800"/>
    </w:pPr>
  </w:style>
  <w:style w:type="paragraph" w:styleId="54">
    <w:name w:val="index 4"/>
    <w:basedOn w:val="1"/>
    <w:next w:val="1"/>
    <w:uiPriority w:val="0"/>
    <w:pPr>
      <w:ind w:left="600" w:leftChars="600"/>
    </w:pPr>
  </w:style>
  <w:style w:type="paragraph" w:styleId="5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uiPriority w:val="0"/>
    <w:pPr>
      <w:ind w:left="3360" w:leftChars="1600"/>
    </w:pPr>
  </w:style>
  <w:style w:type="paragraph" w:styleId="57">
    <w:name w:val="toc 7"/>
    <w:basedOn w:val="1"/>
    <w:next w:val="1"/>
    <w:uiPriority w:val="0"/>
    <w:pPr>
      <w:ind w:left="2520" w:leftChars="1200"/>
    </w:pPr>
  </w:style>
  <w:style w:type="paragraph" w:styleId="58">
    <w:name w:val="index 6"/>
    <w:basedOn w:val="1"/>
    <w:next w:val="1"/>
    <w:uiPriority w:val="0"/>
    <w:pPr>
      <w:ind w:left="1000" w:leftChars="1000"/>
    </w:pPr>
  </w:style>
  <w:style w:type="paragraph" w:styleId="59">
    <w:name w:val="envelope address"/>
    <w:basedOn w:val="1"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uiPriority w:val="0"/>
    <w:pPr>
      <w:ind w:left="1600" w:leftChars="1600"/>
    </w:pPr>
  </w:style>
  <w:style w:type="paragraph" w:styleId="63">
    <w:name w:val="List Number 4"/>
    <w:basedOn w:val="1"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uiPriority w:val="0"/>
  </w:style>
  <w:style w:type="paragraph" w:styleId="67">
    <w:name w:val="table of authorities"/>
    <w:basedOn w:val="1"/>
    <w:next w:val="1"/>
    <w:uiPriority w:val="0"/>
    <w:pPr>
      <w:ind w:left="420" w:leftChars="200"/>
    </w:pPr>
  </w:style>
  <w:style w:type="paragraph" w:styleId="68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uiPriority w:val="0"/>
    <w:pPr>
      <w:ind w:left="2100" w:leftChars="1000"/>
    </w:pPr>
  </w:style>
  <w:style w:type="paragraph" w:styleId="70">
    <w:name w:val="table of figures"/>
    <w:basedOn w:val="1"/>
    <w:next w:val="1"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uiPriority w:val="0"/>
    <w:pPr>
      <w:ind w:left="1680" w:leftChars="800"/>
    </w:pPr>
  </w:style>
  <w:style w:type="paragraph" w:styleId="75">
    <w:name w:val="Note Heading"/>
    <w:basedOn w:val="1"/>
    <w:next w:val="1"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51">
    <w:name w:val="Стиль2"/>
    <w:basedOn w:val="1"/>
    <w:qFormat/>
    <w:uiPriority w:val="0"/>
    <w:pPr>
      <w:spacing w:before="120" w:after="120"/>
    </w:pPr>
    <w:rPr>
      <w:rFonts w:asciiTheme="minorAscii" w:hAnsiTheme="minorAscii"/>
    </w:rPr>
  </w:style>
  <w:style w:type="paragraph" w:customStyle="1" w:styleId="152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2026-02-08T15:56:00Z</dcterms:created>
  <dc:creator>Мария Федорова</dc:creator>
  <cp:lastModifiedBy>Мария Федорова</cp:lastModifiedBy>
  <dcterms:modified xsi:type="dcterms:W3CDTF">2026-02-10T10:26:59Z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3FCDE24047034CB6864A12E038A8DE1C_13</vt:lpwstr>
  </property>
</Properties>
</file>