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2C55F" w14:textId="4AC2168A" w:rsidR="005061A0" w:rsidRPr="00E717C8" w:rsidRDefault="007C3948" w:rsidP="00EB101C">
      <w:pPr>
        <w:spacing w:line="240" w:lineRule="auto"/>
        <w:ind w:firstLine="0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E717C8">
        <w:rPr>
          <w:rFonts w:cs="Times New Roman"/>
          <w:b/>
          <w:bCs/>
          <w:color w:val="000000" w:themeColor="text1"/>
          <w:sz w:val="24"/>
          <w:szCs w:val="24"/>
        </w:rPr>
        <w:t>Оценка эффективности продления топливной компании при добавлении редкоземельных элементов как выгорающих поглотителей на примере ТВС реактора ВВЭР-1200.</w:t>
      </w:r>
    </w:p>
    <w:p w14:paraId="4353A875" w14:textId="7DEFF8CA" w:rsidR="007869E3" w:rsidRPr="00B72BE1" w:rsidRDefault="007869E3" w:rsidP="00EB101C">
      <w:pPr>
        <w:spacing w:line="240" w:lineRule="auto"/>
        <w:ind w:firstLine="0"/>
        <w:jc w:val="center"/>
        <w:rPr>
          <w:rFonts w:cs="Times New Roman"/>
          <w:b/>
          <w:bCs/>
          <w:i/>
          <w:sz w:val="24"/>
          <w:szCs w:val="24"/>
          <w:vertAlign w:val="superscript"/>
          <w:lang w:val="en-US"/>
        </w:rPr>
      </w:pPr>
      <w:r w:rsidRPr="00E717C8">
        <w:rPr>
          <w:rFonts w:cs="Times New Roman"/>
          <w:b/>
          <w:bCs/>
          <w:i/>
          <w:sz w:val="24"/>
          <w:szCs w:val="24"/>
        </w:rPr>
        <w:t>Пикулик Г.О.</w:t>
      </w:r>
    </w:p>
    <w:p w14:paraId="5846FD1B" w14:textId="3FD6F5BF" w:rsidR="00235C98" w:rsidRPr="00E717C8" w:rsidRDefault="00235C98" w:rsidP="00EB101C">
      <w:pPr>
        <w:spacing w:line="240" w:lineRule="auto"/>
        <w:ind w:firstLine="0"/>
        <w:jc w:val="center"/>
        <w:rPr>
          <w:rFonts w:cs="Times New Roman"/>
          <w:bCs/>
          <w:i/>
          <w:sz w:val="24"/>
          <w:szCs w:val="24"/>
        </w:rPr>
      </w:pPr>
      <w:r w:rsidRPr="00E717C8">
        <w:rPr>
          <w:rFonts w:cs="Times New Roman"/>
          <w:bCs/>
          <w:i/>
          <w:sz w:val="24"/>
          <w:szCs w:val="24"/>
        </w:rPr>
        <w:t>Студент</w:t>
      </w:r>
    </w:p>
    <w:p w14:paraId="5DA9C01C" w14:textId="799B153C" w:rsidR="0009679E" w:rsidRPr="00E717C8" w:rsidRDefault="0009679E" w:rsidP="00EB101C">
      <w:pPr>
        <w:spacing w:line="240" w:lineRule="auto"/>
        <w:ind w:firstLine="0"/>
        <w:jc w:val="center"/>
        <w:rPr>
          <w:rFonts w:cs="Times New Roman"/>
          <w:i/>
          <w:iCs/>
          <w:sz w:val="24"/>
          <w:szCs w:val="24"/>
        </w:rPr>
      </w:pPr>
      <w:r w:rsidRPr="00E717C8">
        <w:rPr>
          <w:rFonts w:cs="Times New Roman"/>
          <w:i/>
          <w:iCs/>
          <w:sz w:val="24"/>
          <w:szCs w:val="24"/>
        </w:rPr>
        <w:t>Обнинский институт атомной энергетики – филиал Национального исследовательского ядерного университета «МИФИ», Обнинск, Россия</w:t>
      </w:r>
    </w:p>
    <w:p w14:paraId="5BCC3497" w14:textId="44D84B74" w:rsidR="00FE13B6" w:rsidRPr="00E717C8" w:rsidRDefault="00235C98" w:rsidP="00EB101C">
      <w:pPr>
        <w:spacing w:line="240" w:lineRule="auto"/>
        <w:ind w:firstLine="0"/>
        <w:jc w:val="center"/>
        <w:rPr>
          <w:rFonts w:cs="Times New Roman"/>
          <w:i/>
          <w:iCs/>
          <w:sz w:val="24"/>
          <w:szCs w:val="24"/>
        </w:rPr>
      </w:pPr>
      <w:r w:rsidRPr="00E717C8">
        <w:rPr>
          <w:rFonts w:cs="Times New Roman"/>
          <w:i/>
          <w:iCs/>
          <w:color w:val="000000" w:themeColor="text1"/>
          <w:sz w:val="24"/>
          <w:szCs w:val="24"/>
          <w:lang w:val="en-US"/>
        </w:rPr>
        <w:t>E</w:t>
      </w:r>
      <w:r w:rsidRPr="00E717C8">
        <w:rPr>
          <w:rFonts w:cs="Times New Roman"/>
          <w:i/>
          <w:iCs/>
          <w:color w:val="000000" w:themeColor="text1"/>
          <w:sz w:val="24"/>
          <w:szCs w:val="24"/>
        </w:rPr>
        <w:t>-</w:t>
      </w:r>
      <w:r w:rsidRPr="00E717C8">
        <w:rPr>
          <w:rFonts w:cs="Times New Roman"/>
          <w:i/>
          <w:iCs/>
          <w:color w:val="000000" w:themeColor="text1"/>
          <w:sz w:val="24"/>
          <w:szCs w:val="24"/>
          <w:lang w:val="en-US"/>
        </w:rPr>
        <w:t>mail</w:t>
      </w:r>
      <w:r w:rsidRPr="00E717C8">
        <w:rPr>
          <w:rFonts w:cs="Times New Roman"/>
          <w:i/>
          <w:iCs/>
          <w:color w:val="000000" w:themeColor="text1"/>
          <w:sz w:val="24"/>
          <w:szCs w:val="24"/>
        </w:rPr>
        <w:t xml:space="preserve">: </w:t>
      </w:r>
      <w:r w:rsidR="00FE13B6" w:rsidRPr="00E717C8">
        <w:rPr>
          <w:rFonts w:cs="Times New Roman"/>
          <w:i/>
          <w:iCs/>
          <w:color w:val="000000" w:themeColor="text1"/>
          <w:sz w:val="24"/>
          <w:szCs w:val="24"/>
          <w:u w:val="single"/>
          <w:lang w:val="en-US"/>
        </w:rPr>
        <w:t>pikulikgordey</w:t>
      </w:r>
      <w:r w:rsidR="00FE13B6" w:rsidRPr="00E717C8">
        <w:rPr>
          <w:rFonts w:cs="Times New Roman"/>
          <w:i/>
          <w:iCs/>
          <w:color w:val="000000" w:themeColor="text1"/>
          <w:sz w:val="24"/>
          <w:szCs w:val="24"/>
          <w:u w:val="single"/>
        </w:rPr>
        <w:t>9505@</w:t>
      </w:r>
      <w:r w:rsidR="00FE13B6" w:rsidRPr="00E717C8">
        <w:rPr>
          <w:rFonts w:cs="Times New Roman"/>
          <w:i/>
          <w:iCs/>
          <w:color w:val="000000" w:themeColor="text1"/>
          <w:sz w:val="24"/>
          <w:szCs w:val="24"/>
          <w:u w:val="single"/>
          <w:lang w:val="en-US"/>
        </w:rPr>
        <w:t>gmail</w:t>
      </w:r>
      <w:r w:rsidR="00FE13B6" w:rsidRPr="00E717C8">
        <w:rPr>
          <w:rFonts w:cs="Times New Roman"/>
          <w:i/>
          <w:iCs/>
          <w:color w:val="000000" w:themeColor="text1"/>
          <w:sz w:val="24"/>
          <w:szCs w:val="24"/>
          <w:u w:val="single"/>
        </w:rPr>
        <w:t>.</w:t>
      </w:r>
      <w:r w:rsidR="00FE13B6" w:rsidRPr="00E717C8">
        <w:rPr>
          <w:rFonts w:cs="Times New Roman"/>
          <w:i/>
          <w:iCs/>
          <w:color w:val="000000" w:themeColor="text1"/>
          <w:sz w:val="24"/>
          <w:szCs w:val="24"/>
          <w:u w:val="single"/>
          <w:lang w:val="en-US"/>
        </w:rPr>
        <w:t>com</w:t>
      </w:r>
    </w:p>
    <w:p w14:paraId="54997F69" w14:textId="77777777" w:rsidR="007745AA" w:rsidRDefault="007745AA" w:rsidP="00EB101C">
      <w:pPr>
        <w:spacing w:line="240" w:lineRule="auto"/>
        <w:ind w:firstLine="397"/>
        <w:rPr>
          <w:rFonts w:cs="Times New Roman"/>
          <w:sz w:val="24"/>
          <w:szCs w:val="24"/>
        </w:rPr>
      </w:pPr>
    </w:p>
    <w:p w14:paraId="5D197FEB" w14:textId="094FC732" w:rsidR="00767DD7" w:rsidRPr="00E717C8" w:rsidRDefault="00767DD7" w:rsidP="00EB101C">
      <w:pPr>
        <w:spacing w:line="240" w:lineRule="auto"/>
        <w:ind w:firstLine="397"/>
        <w:rPr>
          <w:rFonts w:cs="Times New Roman"/>
          <w:sz w:val="24"/>
          <w:szCs w:val="24"/>
        </w:rPr>
      </w:pPr>
      <w:r w:rsidRPr="00E717C8">
        <w:rPr>
          <w:rFonts w:cs="Times New Roman"/>
          <w:sz w:val="24"/>
          <w:szCs w:val="24"/>
        </w:rPr>
        <w:t xml:space="preserve">В настоящее время научное сообщество часто сталкивается с одной из ключевых задач при проектировании активных зон реакторов ВВЭР, которой является эффективная компенсация начальной избыточной реактивности. Традиционно для этого используется комбинация жидкого регулирования борной кислотой и твердых выгорающих поглотителей (ВП), интегрированных в топливную таблетку. Оксид гадолиния (Gd₂O₃) остаётся наиболее </w:t>
      </w:r>
      <w:r w:rsidR="005B6945">
        <w:rPr>
          <w:rFonts w:cs="Times New Roman"/>
          <w:sz w:val="24"/>
          <w:szCs w:val="24"/>
        </w:rPr>
        <w:t xml:space="preserve">используемым </w:t>
      </w:r>
      <w:r w:rsidRPr="00E717C8">
        <w:rPr>
          <w:rFonts w:cs="Times New Roman"/>
          <w:sz w:val="24"/>
          <w:szCs w:val="24"/>
        </w:rPr>
        <w:t xml:space="preserve">ВП благодаря высокому сечению поглощения тепловых нейтронов в тепловом спектре. </w:t>
      </w:r>
      <w:r w:rsidR="00C06672">
        <w:rPr>
          <w:rFonts w:cs="Times New Roman"/>
          <w:sz w:val="24"/>
          <w:szCs w:val="24"/>
        </w:rPr>
        <w:t>И</w:t>
      </w:r>
      <w:r w:rsidRPr="00E717C8">
        <w:rPr>
          <w:rFonts w:cs="Times New Roman"/>
          <w:sz w:val="24"/>
          <w:szCs w:val="24"/>
        </w:rPr>
        <w:t xml:space="preserve">спользование борной кислоты негативно влияет на плотностной коэффициент реактивности, что </w:t>
      </w:r>
      <w:r w:rsidR="00C06672">
        <w:rPr>
          <w:rFonts w:cs="Times New Roman"/>
          <w:sz w:val="24"/>
          <w:szCs w:val="24"/>
        </w:rPr>
        <w:t>ухудшает</w:t>
      </w:r>
      <w:r w:rsidRPr="00E717C8">
        <w:rPr>
          <w:rFonts w:cs="Times New Roman"/>
          <w:sz w:val="24"/>
          <w:szCs w:val="24"/>
        </w:rPr>
        <w:t xml:space="preserve"> безопасность реактора, а применение ВП позволяет уменьшить долю запаса реактивности, компенсируемого жидкостной системой, особенно при удлинённых </w:t>
      </w:r>
      <w:r w:rsidR="00E717C8">
        <w:rPr>
          <w:rFonts w:cs="Times New Roman"/>
          <w:sz w:val="24"/>
          <w:szCs w:val="24"/>
        </w:rPr>
        <w:t xml:space="preserve">кампаниях </w:t>
      </w:r>
      <w:r w:rsidR="00C06672" w:rsidRPr="00C06672">
        <w:rPr>
          <w:rFonts w:cs="Times New Roman"/>
          <w:sz w:val="24"/>
          <w:szCs w:val="24"/>
        </w:rPr>
        <w:t>[</w:t>
      </w:r>
      <w:r w:rsidR="00E717C8">
        <w:rPr>
          <w:rFonts w:cs="Times New Roman"/>
          <w:sz w:val="24"/>
          <w:szCs w:val="24"/>
        </w:rPr>
        <w:t>1</w:t>
      </w:r>
      <w:r w:rsidR="00C06672" w:rsidRPr="00C06672">
        <w:rPr>
          <w:rFonts w:cs="Times New Roman"/>
          <w:sz w:val="24"/>
          <w:szCs w:val="24"/>
        </w:rPr>
        <w:t>]</w:t>
      </w:r>
      <w:r w:rsidRPr="00E717C8">
        <w:rPr>
          <w:rFonts w:cs="Times New Roman"/>
          <w:sz w:val="24"/>
          <w:szCs w:val="24"/>
        </w:rPr>
        <w:t xml:space="preserve">. </w:t>
      </w:r>
    </w:p>
    <w:p w14:paraId="4C207E8C" w14:textId="50FB984D" w:rsidR="00767DD7" w:rsidRPr="00E717C8" w:rsidRDefault="00767DD7" w:rsidP="00EB101C">
      <w:pPr>
        <w:spacing w:line="240" w:lineRule="auto"/>
        <w:ind w:firstLine="397"/>
        <w:rPr>
          <w:rFonts w:cs="Times New Roman"/>
          <w:sz w:val="24"/>
          <w:szCs w:val="24"/>
        </w:rPr>
      </w:pPr>
      <w:r w:rsidRPr="00E717C8">
        <w:rPr>
          <w:rFonts w:cs="Times New Roman"/>
          <w:sz w:val="24"/>
          <w:szCs w:val="24"/>
        </w:rPr>
        <w:t>Целью данной работы являлось сравнение нейтронно-физических характеристик тепловыделяющей сборки (ТВС) при добавлении перспективных выгорающих поглотителей на основе редкоземельных элементов — оксидов эрбия (Er₂O₃)</w:t>
      </w:r>
      <w:r w:rsidR="00E717C8">
        <w:rPr>
          <w:rFonts w:cs="Times New Roman"/>
          <w:sz w:val="24"/>
          <w:szCs w:val="24"/>
        </w:rPr>
        <w:t xml:space="preserve"> </w:t>
      </w:r>
      <w:r w:rsidR="00C06672" w:rsidRPr="00C06672">
        <w:rPr>
          <w:rFonts w:cs="Times New Roman"/>
          <w:sz w:val="24"/>
          <w:szCs w:val="24"/>
        </w:rPr>
        <w:t>[</w:t>
      </w:r>
      <w:r w:rsidR="00E717C8">
        <w:rPr>
          <w:rFonts w:cs="Times New Roman"/>
          <w:sz w:val="24"/>
          <w:szCs w:val="24"/>
        </w:rPr>
        <w:t>2</w:t>
      </w:r>
      <w:r w:rsidR="00C06672" w:rsidRPr="00C06672">
        <w:rPr>
          <w:rFonts w:cs="Times New Roman"/>
          <w:sz w:val="24"/>
          <w:szCs w:val="24"/>
        </w:rPr>
        <w:t>]</w:t>
      </w:r>
      <w:r w:rsidR="00E717C8" w:rsidRPr="00E717C8">
        <w:rPr>
          <w:rFonts w:cs="Times New Roman"/>
          <w:sz w:val="24"/>
          <w:szCs w:val="24"/>
        </w:rPr>
        <w:t xml:space="preserve">, </w:t>
      </w:r>
      <w:r w:rsidRPr="00E717C8">
        <w:rPr>
          <w:rFonts w:cs="Times New Roman"/>
          <w:sz w:val="24"/>
          <w:szCs w:val="24"/>
        </w:rPr>
        <w:t xml:space="preserve">европия (Eu₂O₃), диспрозия (Dy₂O₃), </w:t>
      </w:r>
      <w:r w:rsidR="00C06672">
        <w:rPr>
          <w:rFonts w:cs="Times New Roman"/>
          <w:sz w:val="24"/>
          <w:szCs w:val="24"/>
        </w:rPr>
        <w:t>неодима</w:t>
      </w:r>
      <w:r w:rsidRPr="00E717C8">
        <w:rPr>
          <w:rFonts w:cs="Times New Roman"/>
          <w:sz w:val="24"/>
          <w:szCs w:val="24"/>
        </w:rPr>
        <w:t xml:space="preserve"> (</w:t>
      </w:r>
      <w:r w:rsidR="00C06672">
        <w:rPr>
          <w:rFonts w:cs="Times New Roman"/>
          <w:sz w:val="24"/>
          <w:szCs w:val="24"/>
          <w:lang w:val="en-US"/>
        </w:rPr>
        <w:t>N</w:t>
      </w:r>
      <w:r w:rsidRPr="00E717C8">
        <w:rPr>
          <w:rFonts w:cs="Times New Roman"/>
          <w:sz w:val="24"/>
          <w:szCs w:val="24"/>
        </w:rPr>
        <w:t>d₂O₃). Основная задача заключалась в оценке влияния различных добавок на темп потери реактивности и возможность продления кампании.</w:t>
      </w:r>
    </w:p>
    <w:p w14:paraId="42624710" w14:textId="1BDBFCDF" w:rsidR="00B97A6C" w:rsidRPr="00E717C8" w:rsidRDefault="00767DD7" w:rsidP="00EB101C">
      <w:pPr>
        <w:spacing w:line="240" w:lineRule="auto"/>
        <w:ind w:firstLine="397"/>
        <w:rPr>
          <w:rFonts w:eastAsiaTheme="minorEastAsia"/>
          <w:iCs/>
          <w:sz w:val="24"/>
          <w:szCs w:val="24"/>
        </w:rPr>
      </w:pPr>
      <w:r w:rsidRPr="00E717C8">
        <w:rPr>
          <w:rFonts w:cs="Times New Roman"/>
          <w:sz w:val="24"/>
          <w:szCs w:val="24"/>
        </w:rPr>
        <w:t xml:space="preserve">Моделирование выполнено в программном комплексе Serpent </w:t>
      </w:r>
      <w:r w:rsidR="00C06672" w:rsidRPr="00C06672">
        <w:rPr>
          <w:rFonts w:cs="Times New Roman"/>
          <w:sz w:val="24"/>
          <w:szCs w:val="24"/>
        </w:rPr>
        <w:t>[</w:t>
      </w:r>
      <w:r w:rsidR="00E717C8">
        <w:rPr>
          <w:rFonts w:cs="Times New Roman"/>
          <w:sz w:val="24"/>
          <w:szCs w:val="24"/>
        </w:rPr>
        <w:t>3</w:t>
      </w:r>
      <w:r w:rsidR="00C06672" w:rsidRPr="00C06672">
        <w:rPr>
          <w:rFonts w:cs="Times New Roman"/>
          <w:sz w:val="24"/>
          <w:szCs w:val="24"/>
        </w:rPr>
        <w:t>]</w:t>
      </w:r>
      <w:r w:rsidR="001059F8">
        <w:rPr>
          <w:rFonts w:cs="Times New Roman"/>
          <w:sz w:val="24"/>
          <w:szCs w:val="24"/>
        </w:rPr>
        <w:t>.</w:t>
      </w:r>
      <w:r w:rsidRPr="00E717C8">
        <w:rPr>
          <w:rFonts w:cs="Times New Roman"/>
          <w:sz w:val="24"/>
          <w:szCs w:val="24"/>
        </w:rPr>
        <w:t xml:space="preserve"> </w:t>
      </w:r>
      <w:r w:rsidR="001059F8">
        <w:rPr>
          <w:rFonts w:cs="Times New Roman"/>
          <w:sz w:val="24"/>
          <w:szCs w:val="24"/>
        </w:rPr>
        <w:t>Р</w:t>
      </w:r>
      <w:r w:rsidRPr="00E717C8">
        <w:rPr>
          <w:rFonts w:cs="Times New Roman"/>
          <w:sz w:val="24"/>
          <w:szCs w:val="24"/>
        </w:rPr>
        <w:t xml:space="preserve">ассматривалась модель бесконечной решетки ТВС ВВЭР-1200 с гетерогенным размещением поглотителя в топливной матрице. Для наглядности влияния ВП на характеристики было выбрано направление использования оксидов редкоземельных </w:t>
      </w:r>
      <w:r w:rsidR="00C06672">
        <w:rPr>
          <w:rFonts w:cs="Times New Roman"/>
          <w:sz w:val="24"/>
          <w:szCs w:val="24"/>
        </w:rPr>
        <w:t>элементов</w:t>
      </w:r>
      <w:r w:rsidRPr="00E717C8">
        <w:rPr>
          <w:rFonts w:cs="Times New Roman"/>
          <w:sz w:val="24"/>
          <w:szCs w:val="24"/>
        </w:rPr>
        <w:t xml:space="preserve"> в центральном и периферийном кольцах тепловыделяющего элемента (ТВЭЛ). Анализ проводился по изменению коэффициента размножения нейтронов в бесконечной среде в зависимости от глубины выгорания.</w:t>
      </w:r>
      <w:r w:rsidR="0023737F">
        <w:rPr>
          <w:rFonts w:cs="Times New Roman"/>
          <w:sz w:val="24"/>
          <w:szCs w:val="24"/>
        </w:rPr>
        <w:t xml:space="preserve"> В качестве </w:t>
      </w:r>
      <w:r w:rsidR="005B6945">
        <w:rPr>
          <w:rFonts w:cs="Times New Roman"/>
          <w:sz w:val="24"/>
          <w:szCs w:val="24"/>
        </w:rPr>
        <w:t xml:space="preserve">основной </w:t>
      </w:r>
      <w:r w:rsidR="0023737F">
        <w:rPr>
          <w:rFonts w:cs="Times New Roman"/>
          <w:sz w:val="24"/>
          <w:szCs w:val="24"/>
        </w:rPr>
        <w:t>отслеживаемой характеристики был выбран средний темп потери реактивности:</w:t>
      </w:r>
    </w:p>
    <w:p w14:paraId="55497231" w14:textId="2947B249" w:rsidR="00B97A6C" w:rsidRPr="00E717C8" w:rsidRDefault="009E4CDF" w:rsidP="006776DF">
      <w:pPr>
        <w:ind w:firstLine="397"/>
        <w:jc w:val="center"/>
        <w:rPr>
          <w:rFonts w:eastAsiaTheme="minorEastAsia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пот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беск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нач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беск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кон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камп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,</m:t>
          </m:r>
        </m:oMath>
      </m:oMathPara>
    </w:p>
    <w:p w14:paraId="66F279B4" w14:textId="2057B974" w:rsidR="00B97A6C" w:rsidRDefault="00B97A6C" w:rsidP="00EB101C">
      <w:pPr>
        <w:spacing w:line="240" w:lineRule="auto"/>
        <w:ind w:firstLine="0"/>
        <w:rPr>
          <w:rFonts w:eastAsiaTheme="minorEastAsia"/>
          <w:iCs/>
          <w:sz w:val="24"/>
          <w:szCs w:val="24"/>
        </w:rPr>
      </w:pPr>
      <w:r w:rsidRPr="00E717C8">
        <w:rPr>
          <w:rFonts w:eastAsiaTheme="minorEastAsia"/>
          <w:iCs/>
          <w:sz w:val="24"/>
          <w:szCs w:val="24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беск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нач</m:t>
            </m:r>
          </m:sup>
        </m:sSubSup>
      </m:oMath>
      <w:r w:rsidR="005B6945">
        <w:rPr>
          <w:rFonts w:eastAsiaTheme="minorEastAsia"/>
          <w:iCs/>
          <w:sz w:val="24"/>
          <w:szCs w:val="24"/>
        </w:rPr>
        <w:t xml:space="preserve"> –</w:t>
      </w:r>
      <w:r w:rsidRPr="00E717C8">
        <w:rPr>
          <w:rFonts w:eastAsiaTheme="minorEastAsia"/>
          <w:iCs/>
          <w:sz w:val="24"/>
          <w:szCs w:val="24"/>
        </w:rPr>
        <w:t xml:space="preserve"> коэффициент размножения нейтронов в бесконечной среде на момент начала топливной кампании,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беск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кон</m:t>
            </m:r>
          </m:sup>
        </m:sSubSup>
      </m:oMath>
      <w:r w:rsidRPr="00E717C8">
        <w:rPr>
          <w:rFonts w:eastAsiaTheme="minorEastAsia"/>
          <w:iCs/>
          <w:sz w:val="24"/>
          <w:szCs w:val="24"/>
        </w:rPr>
        <w:t xml:space="preserve"> </w:t>
      </w:r>
      <w:r w:rsidR="005B6945">
        <w:rPr>
          <w:rFonts w:eastAsiaTheme="minorEastAsia"/>
          <w:iCs/>
          <w:sz w:val="24"/>
          <w:szCs w:val="24"/>
        </w:rPr>
        <w:t>–</w:t>
      </w:r>
      <w:r w:rsidRPr="00E717C8">
        <w:rPr>
          <w:rFonts w:eastAsiaTheme="minorEastAsia"/>
          <w:iCs/>
          <w:sz w:val="24"/>
          <w:szCs w:val="24"/>
        </w:rPr>
        <w:t xml:space="preserve"> коэффициент размножения нейтронов в бесконечной среде на момент конца топливной кампании,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камп</m:t>
            </m:r>
          </m:sub>
        </m:sSub>
      </m:oMath>
      <w:r w:rsidR="005B6945">
        <w:rPr>
          <w:rFonts w:eastAsiaTheme="minorEastAsia"/>
          <w:iCs/>
          <w:sz w:val="24"/>
          <w:szCs w:val="24"/>
        </w:rPr>
        <w:t xml:space="preserve"> – </w:t>
      </w:r>
      <w:r w:rsidRPr="00E717C8">
        <w:rPr>
          <w:rFonts w:eastAsiaTheme="minorEastAsia"/>
          <w:iCs/>
          <w:sz w:val="24"/>
          <w:szCs w:val="24"/>
        </w:rPr>
        <w:t xml:space="preserve"> </w:t>
      </w:r>
      <w:r w:rsidR="005B6945">
        <w:rPr>
          <w:rFonts w:eastAsiaTheme="minorEastAsia"/>
          <w:iCs/>
          <w:sz w:val="24"/>
          <w:szCs w:val="24"/>
        </w:rPr>
        <w:t>длительность</w:t>
      </w:r>
      <w:r w:rsidRPr="00E717C8">
        <w:rPr>
          <w:rFonts w:eastAsiaTheme="minorEastAsia"/>
          <w:iCs/>
          <w:sz w:val="24"/>
          <w:szCs w:val="24"/>
        </w:rPr>
        <w:t xml:space="preserve"> топливной к</w:t>
      </w:r>
      <w:r w:rsidR="0023737F">
        <w:rPr>
          <w:rFonts w:eastAsiaTheme="minorEastAsia"/>
          <w:iCs/>
          <w:sz w:val="24"/>
          <w:szCs w:val="24"/>
        </w:rPr>
        <w:t>а</w:t>
      </w:r>
      <w:r w:rsidRPr="00E717C8">
        <w:rPr>
          <w:rFonts w:eastAsiaTheme="minorEastAsia"/>
          <w:iCs/>
          <w:sz w:val="24"/>
          <w:szCs w:val="24"/>
        </w:rPr>
        <w:t xml:space="preserve">мпании (для ВВЭР-1200 </w:t>
      </w:r>
      <w:r w:rsidR="007745AA">
        <w:rPr>
          <w:rFonts w:eastAsiaTheme="minorEastAsia"/>
          <w:iCs/>
          <w:sz w:val="24"/>
          <w:szCs w:val="24"/>
        </w:rPr>
        <w:t>принята</w:t>
      </w:r>
      <w:r w:rsidRPr="00E717C8">
        <w:rPr>
          <w:rFonts w:eastAsiaTheme="minorEastAsia"/>
          <w:iCs/>
          <w:sz w:val="24"/>
          <w:szCs w:val="24"/>
        </w:rPr>
        <w:t xml:space="preserve"> 1250 суток).</w:t>
      </w:r>
    </w:p>
    <w:p w14:paraId="0A566E0B" w14:textId="7E954CBA" w:rsidR="005B6945" w:rsidRDefault="005B6945" w:rsidP="00EB101C">
      <w:pPr>
        <w:spacing w:line="240" w:lineRule="auto"/>
        <w:ind w:firstLine="397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В качестве эта</w:t>
      </w:r>
      <w:r w:rsidR="006776DF">
        <w:rPr>
          <w:rFonts w:eastAsiaTheme="minorEastAsia"/>
          <w:iCs/>
          <w:sz w:val="24"/>
          <w:szCs w:val="24"/>
        </w:rPr>
        <w:t xml:space="preserve">лона для сравнения была выбрана тепловыделяющая сборка (ТВС) </w:t>
      </w:r>
      <w:r>
        <w:rPr>
          <w:rFonts w:eastAsiaTheme="minorEastAsia"/>
          <w:iCs/>
          <w:sz w:val="24"/>
          <w:szCs w:val="24"/>
        </w:rPr>
        <w:t xml:space="preserve">типа </w:t>
      </w:r>
      <w:r>
        <w:rPr>
          <w:rFonts w:eastAsiaTheme="minorEastAsia"/>
          <w:iCs/>
          <w:sz w:val="24"/>
          <w:szCs w:val="24"/>
          <w:lang w:val="en-US"/>
        </w:rPr>
        <w:t>Z</w:t>
      </w:r>
      <w:r w:rsidRPr="005B6945">
        <w:rPr>
          <w:rFonts w:eastAsiaTheme="minorEastAsia"/>
          <w:iCs/>
          <w:sz w:val="24"/>
          <w:szCs w:val="24"/>
        </w:rPr>
        <w:t>49</w:t>
      </w:r>
      <w:r>
        <w:rPr>
          <w:rFonts w:eastAsiaTheme="minorEastAsia"/>
          <w:iCs/>
          <w:sz w:val="24"/>
          <w:szCs w:val="24"/>
        </w:rPr>
        <w:t xml:space="preserve"> (см. рисунок 1), для которой было получено значение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пот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=4,0272·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сут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>
        <w:rPr>
          <w:rFonts w:eastAsiaTheme="minorEastAsia"/>
          <w:iCs/>
          <w:sz w:val="24"/>
          <w:szCs w:val="24"/>
        </w:rPr>
        <w:t>.</w:t>
      </w:r>
      <w:r w:rsidR="006776DF">
        <w:rPr>
          <w:rFonts w:eastAsiaTheme="minorEastAsia"/>
          <w:iCs/>
          <w:sz w:val="24"/>
          <w:szCs w:val="24"/>
        </w:rPr>
        <w:t xml:space="preserve"> Для Регулирования избыточной реактивностью используют специальные каналы системы управления и защиты (СУЗ).</w:t>
      </w:r>
    </w:p>
    <w:p w14:paraId="2C423E97" w14:textId="3B1928C1" w:rsidR="006776DF" w:rsidRPr="006776DF" w:rsidRDefault="006776DF" w:rsidP="006776DF">
      <w:pPr>
        <w:spacing w:line="240" w:lineRule="auto"/>
        <w:ind w:firstLine="397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Результаты при использовании гадолиния в качестве выгорающих поглоти</w:t>
      </w:r>
      <w:r w:rsidR="00BC1E5F">
        <w:rPr>
          <w:rFonts w:eastAsiaTheme="minorEastAsia"/>
          <w:iCs/>
          <w:sz w:val="24"/>
          <w:szCs w:val="24"/>
        </w:rPr>
        <w:t>телей при том же обогащении ТВЭЛ</w:t>
      </w:r>
      <w:r>
        <w:rPr>
          <w:rFonts w:eastAsiaTheme="minorEastAsia"/>
          <w:iCs/>
          <w:sz w:val="24"/>
          <w:szCs w:val="24"/>
        </w:rPr>
        <w:t xml:space="preserve">ов (переход от типа </w:t>
      </w:r>
      <w:r>
        <w:rPr>
          <w:rFonts w:eastAsiaTheme="minorEastAsia"/>
          <w:iCs/>
          <w:sz w:val="24"/>
          <w:szCs w:val="24"/>
          <w:lang w:val="en-US"/>
        </w:rPr>
        <w:t>Z</w:t>
      </w:r>
      <w:r w:rsidRPr="007745AA">
        <w:rPr>
          <w:rFonts w:eastAsiaTheme="minorEastAsia"/>
          <w:iCs/>
          <w:sz w:val="24"/>
          <w:szCs w:val="24"/>
        </w:rPr>
        <w:t xml:space="preserve">49 </w:t>
      </w:r>
      <w:r>
        <w:rPr>
          <w:rFonts w:eastAsiaTheme="minorEastAsia"/>
          <w:iCs/>
          <w:sz w:val="24"/>
          <w:szCs w:val="24"/>
        </w:rPr>
        <w:t xml:space="preserve">к типу </w:t>
      </w:r>
      <w:r>
        <w:rPr>
          <w:rFonts w:eastAsiaTheme="minorEastAsia"/>
          <w:iCs/>
          <w:sz w:val="24"/>
          <w:szCs w:val="24"/>
          <w:lang w:val="en-US"/>
        </w:rPr>
        <w:t>Z</w:t>
      </w:r>
      <w:r w:rsidRPr="007745AA">
        <w:rPr>
          <w:rFonts w:eastAsiaTheme="minorEastAsia"/>
          <w:iCs/>
          <w:sz w:val="24"/>
          <w:szCs w:val="24"/>
        </w:rPr>
        <w:t>49</w:t>
      </w:r>
      <w:r>
        <w:rPr>
          <w:rFonts w:eastAsiaTheme="minorEastAsia"/>
          <w:iCs/>
          <w:sz w:val="24"/>
          <w:szCs w:val="24"/>
          <w:lang w:val="en-US"/>
        </w:rPr>
        <w:t>A</w:t>
      </w:r>
      <w:r w:rsidRPr="007745AA">
        <w:rPr>
          <w:rFonts w:eastAsiaTheme="minorEastAsia"/>
          <w:iCs/>
          <w:sz w:val="24"/>
          <w:szCs w:val="24"/>
        </w:rPr>
        <w:t>2</w:t>
      </w:r>
      <w:r>
        <w:rPr>
          <w:rFonts w:eastAsiaTheme="minorEastAsia"/>
          <w:iCs/>
          <w:sz w:val="24"/>
          <w:szCs w:val="24"/>
        </w:rPr>
        <w:t>, где используется 12 тепловыделяющих</w:t>
      </w:r>
      <w:r>
        <w:rPr>
          <w:rFonts w:eastAsiaTheme="minorEastAsia"/>
          <w:iCs/>
          <w:sz w:val="24"/>
          <w:szCs w:val="24"/>
        </w:rPr>
        <w:t xml:space="preserve"> элемент</w:t>
      </w:r>
      <w:r>
        <w:rPr>
          <w:rFonts w:eastAsiaTheme="minorEastAsia"/>
          <w:iCs/>
          <w:sz w:val="24"/>
          <w:szCs w:val="24"/>
        </w:rPr>
        <w:t>ов</w:t>
      </w:r>
      <w:r>
        <w:rPr>
          <w:rFonts w:eastAsiaTheme="minorEastAsia"/>
          <w:iCs/>
          <w:sz w:val="24"/>
          <w:szCs w:val="24"/>
        </w:rPr>
        <w:t xml:space="preserve"> с использованием гадолиния (ТВЭГ</w:t>
      </w:r>
      <w:r>
        <w:rPr>
          <w:rFonts w:eastAsiaTheme="minorEastAsia"/>
          <w:iCs/>
          <w:sz w:val="24"/>
          <w:szCs w:val="24"/>
        </w:rPr>
        <w:t>ов</w:t>
      </w:r>
      <w:r>
        <w:rPr>
          <w:rFonts w:eastAsiaTheme="minorEastAsia"/>
          <w:iCs/>
          <w:sz w:val="24"/>
          <w:szCs w:val="24"/>
        </w:rPr>
        <w:t xml:space="preserve">), либо </w:t>
      </w:r>
      <w:r>
        <w:rPr>
          <w:rFonts w:eastAsiaTheme="minorEastAsia"/>
          <w:iCs/>
          <w:sz w:val="24"/>
          <w:szCs w:val="24"/>
          <w:lang w:val="en-US"/>
        </w:rPr>
        <w:t>Z</w:t>
      </w:r>
      <w:r w:rsidRPr="007745AA">
        <w:rPr>
          <w:rFonts w:eastAsiaTheme="minorEastAsia"/>
          <w:iCs/>
          <w:sz w:val="24"/>
          <w:szCs w:val="24"/>
        </w:rPr>
        <w:t>49</w:t>
      </w:r>
      <w:r>
        <w:rPr>
          <w:rFonts w:eastAsiaTheme="minorEastAsia"/>
          <w:iCs/>
          <w:sz w:val="24"/>
          <w:szCs w:val="24"/>
          <w:lang w:val="en-US"/>
        </w:rPr>
        <w:t>B</w:t>
      </w:r>
      <w:r w:rsidRPr="007745AA">
        <w:rPr>
          <w:rFonts w:eastAsiaTheme="minorEastAsia"/>
          <w:iCs/>
          <w:sz w:val="24"/>
          <w:szCs w:val="24"/>
        </w:rPr>
        <w:t>6</w:t>
      </w:r>
      <w:r>
        <w:rPr>
          <w:rFonts w:eastAsiaTheme="minorEastAsia"/>
          <w:iCs/>
          <w:sz w:val="24"/>
          <w:szCs w:val="24"/>
        </w:rPr>
        <w:t xml:space="preserve">, где используется 6 ТВЭГов) темпа потери реактивности </w:t>
      </w:r>
      <w:r>
        <w:rPr>
          <w:rFonts w:eastAsiaTheme="minorEastAsia"/>
          <w:bCs/>
          <w:iCs/>
          <w:sz w:val="24"/>
          <w:szCs w:val="24"/>
        </w:rPr>
        <w:t>представлены в таблице 1</w:t>
      </w:r>
      <w:r>
        <w:rPr>
          <w:rFonts w:eastAsiaTheme="minorEastAsia"/>
          <w:b/>
          <w:bCs/>
          <w:iCs/>
          <w:sz w:val="24"/>
          <w:szCs w:val="24"/>
        </w:rPr>
        <w:t>.</w:t>
      </w:r>
      <w:r w:rsidR="00BC1E5F">
        <w:rPr>
          <w:rFonts w:eastAsiaTheme="minorEastAsia"/>
          <w:b/>
          <w:bCs/>
          <w:iCs/>
          <w:sz w:val="24"/>
          <w:szCs w:val="24"/>
        </w:rPr>
        <w:t xml:space="preserve"> </w:t>
      </w:r>
      <w:r w:rsidR="00BC1E5F">
        <w:rPr>
          <w:rFonts w:eastAsiaTheme="minorEastAsia"/>
          <w:iCs/>
          <w:sz w:val="24"/>
          <w:szCs w:val="24"/>
        </w:rPr>
        <w:t>Д</w:t>
      </w:r>
      <w:r w:rsidR="00BC1E5F">
        <w:rPr>
          <w:rFonts w:eastAsiaTheme="minorEastAsia"/>
          <w:iCs/>
          <w:sz w:val="24"/>
          <w:szCs w:val="24"/>
        </w:rPr>
        <w:t xml:space="preserve">ля </w:t>
      </w:r>
      <w:r w:rsidR="00BC1E5F">
        <w:rPr>
          <w:rFonts w:eastAsiaTheme="minorEastAsia"/>
          <w:iCs/>
          <w:sz w:val="24"/>
          <w:szCs w:val="24"/>
        </w:rPr>
        <w:t xml:space="preserve">ТВС </w:t>
      </w:r>
      <w:r w:rsidR="00BC1E5F">
        <w:rPr>
          <w:rFonts w:eastAsiaTheme="minorEastAsia"/>
          <w:iCs/>
          <w:sz w:val="24"/>
          <w:szCs w:val="24"/>
          <w:lang w:val="en-US"/>
        </w:rPr>
        <w:t>Z</w:t>
      </w:r>
      <w:r w:rsidR="00BC1E5F" w:rsidRPr="007745AA">
        <w:rPr>
          <w:rFonts w:eastAsiaTheme="minorEastAsia"/>
          <w:iCs/>
          <w:sz w:val="24"/>
          <w:szCs w:val="24"/>
        </w:rPr>
        <w:t>49</w:t>
      </w:r>
      <w:r w:rsidR="00BC1E5F">
        <w:rPr>
          <w:rFonts w:eastAsiaTheme="minorEastAsia"/>
          <w:iCs/>
          <w:sz w:val="24"/>
          <w:szCs w:val="24"/>
          <w:lang w:val="en-US"/>
        </w:rPr>
        <w:t>A</w:t>
      </w:r>
      <w:r w:rsidR="00BC1E5F" w:rsidRPr="007745AA">
        <w:rPr>
          <w:rFonts w:eastAsiaTheme="minorEastAsia"/>
          <w:iCs/>
          <w:sz w:val="24"/>
          <w:szCs w:val="24"/>
        </w:rPr>
        <w:t>2</w:t>
      </w:r>
      <w:r w:rsidR="00BC1E5F">
        <w:rPr>
          <w:rFonts w:eastAsiaTheme="minorEastAsia"/>
          <w:iCs/>
          <w:sz w:val="24"/>
          <w:szCs w:val="24"/>
        </w:rPr>
        <w:t xml:space="preserve"> было получено значение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пот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  <w14:ligatures w14:val="none"/>
          </w:rPr>
          <m:t>3,1349</m:t>
        </m:r>
        <m:r>
          <w:rPr>
            <w:rFonts w:ascii="Cambria Math" w:eastAsiaTheme="minorEastAsia" w:hAnsi="Cambria Math"/>
            <w:sz w:val="24"/>
            <w:szCs w:val="24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сут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 w:rsidR="00BC1E5F">
        <w:rPr>
          <w:rFonts w:eastAsiaTheme="minorEastAsia"/>
          <w:iCs/>
          <w:sz w:val="24"/>
          <w:szCs w:val="24"/>
        </w:rPr>
        <w:t>.</w:t>
      </w:r>
    </w:p>
    <w:p w14:paraId="5AFF895D" w14:textId="77777777" w:rsidR="0031078C" w:rsidRDefault="0031078C" w:rsidP="00EB101C">
      <w:pPr>
        <w:spacing w:line="240" w:lineRule="auto"/>
        <w:ind w:firstLine="397"/>
        <w:rPr>
          <w:rFonts w:eastAsiaTheme="minorEastAsia"/>
          <w:iCs/>
          <w:sz w:val="24"/>
          <w:szCs w:val="24"/>
        </w:rPr>
      </w:pPr>
    </w:p>
    <w:p w14:paraId="20028C3B" w14:textId="2D5C1C52" w:rsidR="0029330E" w:rsidRDefault="007745AA" w:rsidP="0031078C">
      <w:pPr>
        <w:spacing w:line="240" w:lineRule="auto"/>
        <w:ind w:firstLine="0"/>
        <w:jc w:val="center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noProof/>
          <w:sz w:val="24"/>
          <w:szCs w:val="24"/>
          <w:lang w:eastAsia="ru-RU"/>
        </w:rPr>
        <w:lastRenderedPageBreak/>
        <w:drawing>
          <wp:inline distT="0" distB="0" distL="0" distR="0" wp14:anchorId="634BE846" wp14:editId="6B513A88">
            <wp:extent cx="3997172" cy="2530797"/>
            <wp:effectExtent l="0" t="0" r="381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983" cy="261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8BE07" w14:textId="3490F252" w:rsidR="0029330E" w:rsidRPr="0031078C" w:rsidRDefault="0029330E" w:rsidP="00EB101C">
      <w:pPr>
        <w:spacing w:line="240" w:lineRule="auto"/>
        <w:ind w:firstLine="0"/>
        <w:jc w:val="center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Рисунок 1 – Поперечный срез модели ТВС типа </w:t>
      </w:r>
      <w:r>
        <w:rPr>
          <w:rFonts w:eastAsiaTheme="minorEastAsia"/>
          <w:iCs/>
          <w:sz w:val="24"/>
          <w:szCs w:val="24"/>
          <w:lang w:val="en-US"/>
        </w:rPr>
        <w:t>Z</w:t>
      </w:r>
      <w:r w:rsidRPr="0029330E">
        <w:rPr>
          <w:rFonts w:eastAsiaTheme="minorEastAsia"/>
          <w:iCs/>
          <w:sz w:val="24"/>
          <w:szCs w:val="24"/>
        </w:rPr>
        <w:t>49</w:t>
      </w:r>
      <w:r>
        <w:rPr>
          <w:rFonts w:eastAsiaTheme="minorEastAsia"/>
          <w:iCs/>
          <w:sz w:val="24"/>
          <w:szCs w:val="24"/>
        </w:rPr>
        <w:t xml:space="preserve"> в программном комплексе </w:t>
      </w:r>
      <w:r>
        <w:rPr>
          <w:rFonts w:eastAsiaTheme="minorEastAsia"/>
          <w:iCs/>
          <w:sz w:val="24"/>
          <w:szCs w:val="24"/>
          <w:lang w:val="en-US"/>
        </w:rPr>
        <w:t>Serpent</w:t>
      </w:r>
      <w:r w:rsidR="0031078C">
        <w:rPr>
          <w:rFonts w:eastAsiaTheme="minorEastAsia"/>
          <w:iCs/>
          <w:sz w:val="24"/>
          <w:szCs w:val="24"/>
        </w:rPr>
        <w:t>.</w:t>
      </w:r>
    </w:p>
    <w:p w14:paraId="0CDE22E5" w14:textId="5DE789BA" w:rsidR="007F6E64" w:rsidRDefault="007F6E64" w:rsidP="007F6E64">
      <w:pPr>
        <w:spacing w:line="240" w:lineRule="auto"/>
        <w:ind w:firstLine="0"/>
        <w:rPr>
          <w:rFonts w:eastAsiaTheme="minorEastAsia"/>
          <w:b/>
          <w:bCs/>
          <w:iCs/>
          <w:sz w:val="24"/>
          <w:szCs w:val="24"/>
        </w:rPr>
      </w:pPr>
    </w:p>
    <w:p w14:paraId="169B91BE" w14:textId="316C8FF7" w:rsidR="007F6E64" w:rsidRPr="007F6E64" w:rsidRDefault="007F6E64" w:rsidP="007F6E64">
      <w:pPr>
        <w:spacing w:line="240" w:lineRule="auto"/>
        <w:ind w:firstLine="0"/>
        <w:rPr>
          <w:rFonts w:cs="Times New Roman"/>
          <w:color w:val="000000" w:themeColor="text1"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Таблица 1 – </w:t>
      </w:r>
      <w:r w:rsidRPr="005061A0">
        <w:rPr>
          <w:rFonts w:cs="Times New Roman"/>
          <w:color w:val="000000" w:themeColor="text1"/>
          <w:sz w:val="24"/>
          <w:szCs w:val="24"/>
        </w:rPr>
        <w:t>Сравнения те</w:t>
      </w:r>
      <w:r>
        <w:rPr>
          <w:rFonts w:cs="Times New Roman"/>
          <w:color w:val="000000" w:themeColor="text1"/>
          <w:sz w:val="24"/>
          <w:szCs w:val="24"/>
        </w:rPr>
        <w:t>мпа потери реактивности для неко</w:t>
      </w:r>
      <w:bookmarkStart w:id="0" w:name="_GoBack"/>
      <w:bookmarkEnd w:id="0"/>
      <w:r>
        <w:rPr>
          <w:rFonts w:cs="Times New Roman"/>
          <w:color w:val="000000" w:themeColor="text1"/>
          <w:sz w:val="24"/>
          <w:szCs w:val="24"/>
        </w:rPr>
        <w:t>торых</w:t>
      </w:r>
      <w:r w:rsidRPr="005061A0">
        <w:rPr>
          <w:rFonts w:cs="Times New Roman"/>
          <w:color w:val="000000" w:themeColor="text1"/>
          <w:sz w:val="24"/>
          <w:szCs w:val="24"/>
        </w:rPr>
        <w:t xml:space="preserve"> моделей реактора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5061A0">
        <w:rPr>
          <w:rFonts w:cs="Times New Roman"/>
          <w:color w:val="000000" w:themeColor="text1"/>
          <w:sz w:val="24"/>
          <w:szCs w:val="24"/>
        </w:rPr>
        <w:t xml:space="preserve">ВВЭР-1200 в программном комплексе </w:t>
      </w:r>
      <w:r w:rsidRPr="005061A0">
        <w:rPr>
          <w:rFonts w:cs="Times New Roman"/>
          <w:color w:val="000000" w:themeColor="text1"/>
          <w:sz w:val="24"/>
          <w:szCs w:val="24"/>
          <w:lang w:val="en-US"/>
        </w:rPr>
        <w:t>Serpent</w:t>
      </w:r>
      <w:r>
        <w:rPr>
          <w:rFonts w:cs="Times New Roman"/>
          <w:color w:val="000000" w:themeColor="text1"/>
          <w:sz w:val="24"/>
          <w:szCs w:val="24"/>
        </w:rPr>
        <w:t>.</w:t>
      </w:r>
    </w:p>
    <w:tbl>
      <w:tblPr>
        <w:tblW w:w="7598" w:type="dxa"/>
        <w:jc w:val="center"/>
        <w:tblLook w:val="04A0" w:firstRow="1" w:lastRow="0" w:firstColumn="1" w:lastColumn="0" w:noHBand="0" w:noVBand="1"/>
      </w:tblPr>
      <w:tblGrid>
        <w:gridCol w:w="4323"/>
        <w:gridCol w:w="1091"/>
        <w:gridCol w:w="1091"/>
        <w:gridCol w:w="1093"/>
      </w:tblGrid>
      <w:tr w:rsidR="0031078C" w:rsidRPr="000E1F46" w14:paraId="2429F482" w14:textId="77777777" w:rsidTr="0031078C">
        <w:trPr>
          <w:trHeight w:val="166"/>
          <w:jc w:val="center"/>
        </w:trPr>
        <w:tc>
          <w:tcPr>
            <w:tcW w:w="75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FCD951" w14:textId="30A7EC84" w:rsidR="0031078C" w:rsidRPr="000E1F46" w:rsidRDefault="006776DF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Добавка ВП при отсутствии ТВЭГ</w:t>
            </w:r>
            <w:r w:rsidR="0031078C"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ов (Z49)</w:t>
            </w:r>
          </w:p>
        </w:tc>
      </w:tr>
      <w:tr w:rsidR="0031078C" w:rsidRPr="000E1F46" w14:paraId="188AA3BF" w14:textId="77777777" w:rsidTr="0031078C">
        <w:trPr>
          <w:trHeight w:val="140"/>
          <w:jc w:val="center"/>
        </w:trPr>
        <w:tc>
          <w:tcPr>
            <w:tcW w:w="4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5F145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размещение ВП</w:t>
            </w:r>
          </w:p>
        </w:tc>
        <w:tc>
          <w:tcPr>
            <w:tcW w:w="32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55E04D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центральное кольцо</w:t>
            </w:r>
          </w:p>
        </w:tc>
      </w:tr>
      <w:tr w:rsidR="0031078C" w:rsidRPr="000E1F46" w14:paraId="5A08209C" w14:textId="77777777" w:rsidTr="0031078C">
        <w:trPr>
          <w:trHeight w:val="140"/>
          <w:jc w:val="center"/>
        </w:trPr>
        <w:tc>
          <w:tcPr>
            <w:tcW w:w="4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88B97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Вид ВП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FD1FB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Er2O3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777E1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Eu2O3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EC994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Dy2O3</w:t>
            </w:r>
          </w:p>
        </w:tc>
      </w:tr>
      <w:tr w:rsidR="0031078C" w:rsidRPr="000E1F46" w14:paraId="0F133CAC" w14:textId="77777777" w:rsidTr="0031078C">
        <w:trPr>
          <w:trHeight w:val="276"/>
          <w:jc w:val="center"/>
        </w:trPr>
        <w:tc>
          <w:tcPr>
            <w:tcW w:w="4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7E574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Темп потери реактивности, </w:t>
            </w:r>
            <w:r w:rsidRPr="000E1F4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ru-RU"/>
                <w14:ligatures w14:val="none"/>
              </w:rPr>
              <w:t>∙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10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  <w14:ligatures w14:val="none"/>
              </w:rPr>
              <w:t>-4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сут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  <w14:ligatures w14:val="none"/>
              </w:rPr>
              <w:t>-1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A5261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3,784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738C3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4,1322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995C4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4,0104</w:t>
            </w:r>
          </w:p>
        </w:tc>
      </w:tr>
      <w:tr w:rsidR="0031078C" w:rsidRPr="000E1F46" w14:paraId="6E1CC667" w14:textId="77777777" w:rsidTr="0031078C">
        <w:trPr>
          <w:trHeight w:val="140"/>
          <w:jc w:val="center"/>
        </w:trPr>
        <w:tc>
          <w:tcPr>
            <w:tcW w:w="4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B5C5C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размещение ВП</w:t>
            </w:r>
          </w:p>
        </w:tc>
        <w:tc>
          <w:tcPr>
            <w:tcW w:w="32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E3395E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периферийное кольцо</w:t>
            </w:r>
          </w:p>
        </w:tc>
      </w:tr>
      <w:tr w:rsidR="0031078C" w:rsidRPr="000E1F46" w14:paraId="64163712" w14:textId="77777777" w:rsidTr="0031078C">
        <w:trPr>
          <w:trHeight w:val="140"/>
          <w:jc w:val="center"/>
        </w:trPr>
        <w:tc>
          <w:tcPr>
            <w:tcW w:w="4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455FA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Вид ВП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33BB4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Er2O3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620BC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Eu2O3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2BCEA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Dy2O3</w:t>
            </w:r>
          </w:p>
        </w:tc>
      </w:tr>
      <w:tr w:rsidR="0031078C" w:rsidRPr="000E1F46" w14:paraId="0FE4E09F" w14:textId="77777777" w:rsidTr="0031078C">
        <w:trPr>
          <w:trHeight w:val="276"/>
          <w:jc w:val="center"/>
        </w:trPr>
        <w:tc>
          <w:tcPr>
            <w:tcW w:w="4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B941E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Темп потери реактивности, </w:t>
            </w:r>
            <w:r w:rsidRPr="000E1F4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ru-RU"/>
                <w14:ligatures w14:val="none"/>
              </w:rPr>
              <w:t>∙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10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  <w14:ligatures w14:val="none"/>
              </w:rPr>
              <w:t>-4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сут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  <w14:ligatures w14:val="none"/>
              </w:rPr>
              <w:t>-1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E0FED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3,7698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5C673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4,0202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AEAF6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4,0169</w:t>
            </w:r>
          </w:p>
        </w:tc>
      </w:tr>
      <w:tr w:rsidR="0031078C" w:rsidRPr="000E1F46" w14:paraId="79618AD8" w14:textId="77777777" w:rsidTr="0031078C">
        <w:trPr>
          <w:trHeight w:val="166"/>
          <w:jc w:val="center"/>
        </w:trPr>
        <w:tc>
          <w:tcPr>
            <w:tcW w:w="75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5A89F3F9" w14:textId="427DED3C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Доб</w:t>
            </w:r>
            <w:r w:rsidR="006776DF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авка ВП в ТВЭЛы при наличии ТВЭГ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ов (Z49A2)</w:t>
            </w:r>
          </w:p>
        </w:tc>
      </w:tr>
      <w:tr w:rsidR="0031078C" w:rsidRPr="000E1F46" w14:paraId="2BE5871A" w14:textId="77777777" w:rsidTr="0031078C">
        <w:trPr>
          <w:trHeight w:val="140"/>
          <w:jc w:val="center"/>
        </w:trPr>
        <w:tc>
          <w:tcPr>
            <w:tcW w:w="4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8762F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размещение ВП</w:t>
            </w:r>
          </w:p>
        </w:tc>
        <w:tc>
          <w:tcPr>
            <w:tcW w:w="32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7AAA55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центральное кольцо</w:t>
            </w:r>
          </w:p>
        </w:tc>
      </w:tr>
      <w:tr w:rsidR="0031078C" w:rsidRPr="000E1F46" w14:paraId="0F6BAD2D" w14:textId="77777777" w:rsidTr="0031078C">
        <w:trPr>
          <w:trHeight w:val="140"/>
          <w:jc w:val="center"/>
        </w:trPr>
        <w:tc>
          <w:tcPr>
            <w:tcW w:w="4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CAC9D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Вид ВП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6D768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Er2O3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2787C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Eu2O3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526BA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Dy2O3</w:t>
            </w:r>
          </w:p>
        </w:tc>
      </w:tr>
      <w:tr w:rsidR="0031078C" w:rsidRPr="000E1F46" w14:paraId="5DAC146E" w14:textId="77777777" w:rsidTr="0031078C">
        <w:trPr>
          <w:trHeight w:val="276"/>
          <w:jc w:val="center"/>
        </w:trPr>
        <w:tc>
          <w:tcPr>
            <w:tcW w:w="4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F57B6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Темп потери реактивности, </w:t>
            </w:r>
            <w:r w:rsidRPr="000E1F4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ru-RU"/>
                <w14:ligatures w14:val="none"/>
              </w:rPr>
              <w:t>∙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10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  <w14:ligatures w14:val="none"/>
              </w:rPr>
              <w:t>-4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сут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  <w14:ligatures w14:val="none"/>
              </w:rPr>
              <w:t>-1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4BC16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2,8896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038BD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3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,1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683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D6C9A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3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,0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543</w:t>
            </w:r>
          </w:p>
        </w:tc>
      </w:tr>
      <w:tr w:rsidR="0031078C" w:rsidRPr="000E1F46" w14:paraId="5BE4CABC" w14:textId="77777777" w:rsidTr="0031078C">
        <w:trPr>
          <w:trHeight w:val="140"/>
          <w:jc w:val="center"/>
        </w:trPr>
        <w:tc>
          <w:tcPr>
            <w:tcW w:w="4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89A8D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размещение ВП</w:t>
            </w:r>
          </w:p>
        </w:tc>
        <w:tc>
          <w:tcPr>
            <w:tcW w:w="32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6DDDDA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периферийное кольцо</w:t>
            </w:r>
          </w:p>
        </w:tc>
      </w:tr>
      <w:tr w:rsidR="0031078C" w:rsidRPr="000E1F46" w14:paraId="474E3958" w14:textId="77777777" w:rsidTr="0031078C">
        <w:trPr>
          <w:trHeight w:val="140"/>
          <w:jc w:val="center"/>
        </w:trPr>
        <w:tc>
          <w:tcPr>
            <w:tcW w:w="4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286A1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Вид ВП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3C3C0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Er2O3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980EF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Eu2O3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3FEAF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Dy2O3</w:t>
            </w:r>
          </w:p>
        </w:tc>
      </w:tr>
      <w:tr w:rsidR="0031078C" w:rsidRPr="000E1F46" w14:paraId="0FA2B82F" w14:textId="77777777" w:rsidTr="0031078C">
        <w:trPr>
          <w:trHeight w:val="60"/>
          <w:jc w:val="center"/>
        </w:trPr>
        <w:tc>
          <w:tcPr>
            <w:tcW w:w="4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AC089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Темп потери реактивности, </w:t>
            </w:r>
            <w:r w:rsidRPr="000E1F4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ru-RU"/>
                <w14:ligatures w14:val="none"/>
              </w:rPr>
              <w:t>∙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10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  <w14:ligatures w14:val="none"/>
              </w:rPr>
              <w:t>-4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сут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  <w14:ligatures w14:val="none"/>
              </w:rPr>
              <w:t>-1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8F9E6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3,7723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7B3E4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3,0829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CE24F" w14:textId="77777777" w:rsidR="0031078C" w:rsidRPr="000E1F46" w:rsidRDefault="0031078C" w:rsidP="003450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3</w:t>
            </w:r>
            <w:r w:rsidRPr="000E1F46"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0506</w:t>
            </w:r>
          </w:p>
        </w:tc>
      </w:tr>
    </w:tbl>
    <w:p w14:paraId="45AA5BE7" w14:textId="77777777" w:rsidR="0031078C" w:rsidRPr="0031078C" w:rsidRDefault="0031078C" w:rsidP="0031078C">
      <w:pPr>
        <w:spacing w:line="240" w:lineRule="auto"/>
        <w:ind w:firstLine="0"/>
        <w:jc w:val="center"/>
        <w:rPr>
          <w:rFonts w:eastAsiaTheme="minorEastAsia"/>
          <w:iCs/>
          <w:sz w:val="24"/>
          <w:szCs w:val="24"/>
        </w:rPr>
      </w:pPr>
    </w:p>
    <w:p w14:paraId="00E5C8A2" w14:textId="2147642C" w:rsidR="007745AA" w:rsidRPr="007745AA" w:rsidRDefault="007745AA" w:rsidP="007745AA">
      <w:pPr>
        <w:spacing w:line="240" w:lineRule="auto"/>
        <w:ind w:firstLine="397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Важно отметить, что при увеличении доли поглотителей в ТВС снижение темпа потери реактивности логично, поскольку они выполняют задачу блокирования части топлива в начале кампании; при близкой к нулю концентрации гадолиния избыточная реактивность высвобождается к моменту, когда часть топлива уже выгорела, что снижает угол наклона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беск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(t)</m:t>
        </m:r>
      </m:oMath>
      <w:r w:rsidRPr="007745AA">
        <w:rPr>
          <w:rFonts w:eastAsiaTheme="minorEastAsia"/>
          <w:iCs/>
          <w:sz w:val="24"/>
          <w:szCs w:val="24"/>
        </w:rPr>
        <w:t xml:space="preserve">. </w:t>
      </w:r>
    </w:p>
    <w:p w14:paraId="4039E19C" w14:textId="77777777" w:rsidR="0029330E" w:rsidRPr="005B6945" w:rsidRDefault="0029330E" w:rsidP="00EB101C">
      <w:pPr>
        <w:spacing w:line="240" w:lineRule="auto"/>
        <w:ind w:firstLine="0"/>
        <w:rPr>
          <w:rFonts w:eastAsiaTheme="minorEastAsia"/>
          <w:iCs/>
          <w:sz w:val="24"/>
          <w:szCs w:val="24"/>
        </w:rPr>
      </w:pPr>
    </w:p>
    <w:p w14:paraId="2745E5DA" w14:textId="6B2E924D" w:rsidR="005061A0" w:rsidRPr="00E717C8" w:rsidRDefault="00E717C8" w:rsidP="00EB101C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E717C8">
        <w:rPr>
          <w:rFonts w:cs="Times New Roman"/>
          <w:b/>
          <w:sz w:val="24"/>
          <w:szCs w:val="24"/>
        </w:rPr>
        <w:t>Литература</w:t>
      </w:r>
    </w:p>
    <w:p w14:paraId="42E92B7C" w14:textId="42EABEA3" w:rsidR="00C84436" w:rsidRPr="00E717C8" w:rsidRDefault="00C84436" w:rsidP="00EB101C">
      <w:pPr>
        <w:pStyle w:val="a7"/>
        <w:numPr>
          <w:ilvl w:val="0"/>
          <w:numId w:val="6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 w:rsidRPr="00E717C8">
        <w:rPr>
          <w:rFonts w:cs="Times New Roman"/>
          <w:sz w:val="24"/>
          <w:szCs w:val="24"/>
        </w:rPr>
        <w:t>Музафаров</w:t>
      </w:r>
      <w:r w:rsidR="007411AA" w:rsidRPr="00E717C8">
        <w:rPr>
          <w:rFonts w:cs="Times New Roman"/>
          <w:sz w:val="24"/>
          <w:szCs w:val="24"/>
        </w:rPr>
        <w:t>, А.Р.</w:t>
      </w:r>
      <w:r w:rsidRPr="00E717C8">
        <w:rPr>
          <w:rFonts w:cs="Times New Roman"/>
          <w:sz w:val="24"/>
          <w:szCs w:val="24"/>
        </w:rPr>
        <w:t xml:space="preserve"> Использование выгорающих поглотителей в реакторах типа ВВЭР для снижения доли запаса реактивности, компенсируемого жидкостной системой при удлиненных кампаниях </w:t>
      </w:r>
      <w:r w:rsidR="007411AA" w:rsidRPr="00E717C8">
        <w:rPr>
          <w:rFonts w:cs="Times New Roman"/>
          <w:sz w:val="24"/>
          <w:szCs w:val="24"/>
        </w:rPr>
        <w:t xml:space="preserve">/ А.Р. Музафаров, В.И. Савандер </w:t>
      </w:r>
      <w:r w:rsidRPr="00E717C8">
        <w:rPr>
          <w:rFonts w:cs="Times New Roman"/>
          <w:sz w:val="24"/>
          <w:szCs w:val="24"/>
        </w:rPr>
        <w:t>// Глобальная ядерная безопасность, 2022 №2(43). – 42 с.</w:t>
      </w:r>
    </w:p>
    <w:p w14:paraId="323D4F41" w14:textId="5361CBA6" w:rsidR="00AD000E" w:rsidRPr="00E717C8" w:rsidRDefault="00626929" w:rsidP="00EB101C">
      <w:pPr>
        <w:pStyle w:val="a7"/>
        <w:numPr>
          <w:ilvl w:val="0"/>
          <w:numId w:val="6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 w:rsidRPr="00E717C8">
        <w:rPr>
          <w:rFonts w:cs="Times New Roman"/>
          <w:sz w:val="24"/>
          <w:szCs w:val="24"/>
        </w:rPr>
        <w:t>Альассаф</w:t>
      </w:r>
      <w:r w:rsidR="007411AA" w:rsidRPr="00E717C8">
        <w:rPr>
          <w:rFonts w:cs="Times New Roman"/>
          <w:sz w:val="24"/>
          <w:szCs w:val="24"/>
        </w:rPr>
        <w:t>, С.Х.</w:t>
      </w:r>
      <w:r w:rsidRPr="00E717C8">
        <w:rPr>
          <w:rFonts w:cs="Times New Roman"/>
          <w:sz w:val="24"/>
          <w:szCs w:val="24"/>
        </w:rPr>
        <w:t xml:space="preserve"> Использование эрбия в качестве выгорающего поглотителя в реакторах типа ВВЭР при работе на удлиненных кампания</w:t>
      </w:r>
      <w:r w:rsidR="007411AA" w:rsidRPr="00E717C8">
        <w:rPr>
          <w:rFonts w:cs="Times New Roman"/>
          <w:sz w:val="24"/>
          <w:szCs w:val="24"/>
        </w:rPr>
        <w:t xml:space="preserve"> / С.Х. Альассаф, В.И. Савандер, А.А. Хассан</w:t>
      </w:r>
      <w:r w:rsidRPr="00E717C8">
        <w:rPr>
          <w:rFonts w:cs="Times New Roman"/>
          <w:sz w:val="24"/>
          <w:szCs w:val="24"/>
        </w:rPr>
        <w:t xml:space="preserve"> // Известия высших учебных заведений. ядерная энергетика. – 65 </w:t>
      </w:r>
      <w:r w:rsidRPr="00E717C8">
        <w:rPr>
          <w:rFonts w:cs="Times New Roman"/>
          <w:sz w:val="24"/>
          <w:szCs w:val="24"/>
          <w:lang w:val="en-US"/>
        </w:rPr>
        <w:t>c</w:t>
      </w:r>
      <w:r w:rsidRPr="00E717C8">
        <w:rPr>
          <w:rFonts w:cs="Times New Roman"/>
          <w:sz w:val="24"/>
          <w:szCs w:val="24"/>
        </w:rPr>
        <w:t>.</w:t>
      </w:r>
    </w:p>
    <w:p w14:paraId="7AE49B35" w14:textId="5165D74C" w:rsidR="00ED4AE1" w:rsidRPr="00E717C8" w:rsidRDefault="00E878F6" w:rsidP="00EB101C">
      <w:pPr>
        <w:pStyle w:val="a7"/>
        <w:numPr>
          <w:ilvl w:val="0"/>
          <w:numId w:val="6"/>
        </w:numPr>
        <w:spacing w:line="240" w:lineRule="auto"/>
        <w:ind w:left="0" w:firstLine="0"/>
        <w:rPr>
          <w:rFonts w:cs="Times New Roman"/>
          <w:color w:val="000000" w:themeColor="text1"/>
          <w:sz w:val="24"/>
          <w:szCs w:val="24"/>
          <w:lang w:val="en-US"/>
        </w:rPr>
      </w:pPr>
      <w:r w:rsidRPr="00E717C8">
        <w:rPr>
          <w:rFonts w:cs="Times New Roman"/>
          <w:color w:val="000000" w:themeColor="text1"/>
          <w:sz w:val="24"/>
          <w:szCs w:val="24"/>
          <w:lang w:val="en-US"/>
        </w:rPr>
        <w:t>Leppänen, J. Status of Serpent Monte Carlo code in 2024. / J. Leppänen, V. Valtavirta, A. Rintala, R. Tuominen / EPJ Nuclear Sciences &amp; Technologies (2025)</w:t>
      </w:r>
      <w:r w:rsidR="005061A0" w:rsidRPr="00E717C8">
        <w:rPr>
          <w:rFonts w:cs="Times New Roman"/>
          <w:color w:val="000000" w:themeColor="text1"/>
          <w:sz w:val="24"/>
          <w:szCs w:val="24"/>
          <w:lang w:val="en-US"/>
        </w:rPr>
        <w:t>. –11 vol.</w:t>
      </w:r>
    </w:p>
    <w:sectPr w:rsidR="00ED4AE1" w:rsidRPr="00E717C8" w:rsidSect="00EB101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F6290" w14:textId="77777777" w:rsidR="009E4CDF" w:rsidRDefault="009E4CDF" w:rsidP="007869E3">
      <w:pPr>
        <w:spacing w:line="240" w:lineRule="auto"/>
      </w:pPr>
      <w:r>
        <w:separator/>
      </w:r>
    </w:p>
  </w:endnote>
  <w:endnote w:type="continuationSeparator" w:id="0">
    <w:p w14:paraId="24D66215" w14:textId="77777777" w:rsidR="009E4CDF" w:rsidRDefault="009E4CDF" w:rsidP="00786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F827C" w14:textId="77777777" w:rsidR="009E4CDF" w:rsidRDefault="009E4CDF" w:rsidP="007869E3">
      <w:pPr>
        <w:spacing w:line="240" w:lineRule="auto"/>
      </w:pPr>
      <w:r>
        <w:separator/>
      </w:r>
    </w:p>
  </w:footnote>
  <w:footnote w:type="continuationSeparator" w:id="0">
    <w:p w14:paraId="5396C980" w14:textId="77777777" w:rsidR="009E4CDF" w:rsidRDefault="009E4CDF" w:rsidP="007869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4EB"/>
    <w:multiLevelType w:val="hybridMultilevel"/>
    <w:tmpl w:val="42426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E0D01"/>
    <w:multiLevelType w:val="hybridMultilevel"/>
    <w:tmpl w:val="B314862C"/>
    <w:lvl w:ilvl="0" w:tplc="5AEC78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F554C"/>
    <w:multiLevelType w:val="hybridMultilevel"/>
    <w:tmpl w:val="F550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E43CD"/>
    <w:multiLevelType w:val="hybridMultilevel"/>
    <w:tmpl w:val="D8026D42"/>
    <w:lvl w:ilvl="0" w:tplc="5AEC78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42BDF"/>
    <w:multiLevelType w:val="hybridMultilevel"/>
    <w:tmpl w:val="FC6C4AA0"/>
    <w:lvl w:ilvl="0" w:tplc="24BEF0B2">
      <w:start w:val="1"/>
      <w:numFmt w:val="decimal"/>
      <w:lvlText w:val="%1."/>
      <w:lvlJc w:val="left"/>
      <w:pPr>
        <w:ind w:left="1089" w:hanging="38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B178C"/>
    <w:multiLevelType w:val="hybridMultilevel"/>
    <w:tmpl w:val="1324C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41217"/>
    <w:multiLevelType w:val="hybridMultilevel"/>
    <w:tmpl w:val="5D34E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2BE69E2"/>
    <w:multiLevelType w:val="hybridMultilevel"/>
    <w:tmpl w:val="BBF2C296"/>
    <w:lvl w:ilvl="0" w:tplc="24BEF0B2">
      <w:start w:val="1"/>
      <w:numFmt w:val="decimal"/>
      <w:lvlText w:val="%1."/>
      <w:lvlJc w:val="left"/>
      <w:pPr>
        <w:ind w:left="1089" w:hanging="38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27618B"/>
    <w:multiLevelType w:val="hybridMultilevel"/>
    <w:tmpl w:val="E5522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0E"/>
    <w:rsid w:val="00006832"/>
    <w:rsid w:val="00007A61"/>
    <w:rsid w:val="000119B0"/>
    <w:rsid w:val="00084961"/>
    <w:rsid w:val="0009679E"/>
    <w:rsid w:val="000B07BE"/>
    <w:rsid w:val="000B1750"/>
    <w:rsid w:val="000C575B"/>
    <w:rsid w:val="000C678E"/>
    <w:rsid w:val="000D7C52"/>
    <w:rsid w:val="000E1F46"/>
    <w:rsid w:val="000E59A0"/>
    <w:rsid w:val="000E660E"/>
    <w:rsid w:val="000F4D11"/>
    <w:rsid w:val="000F4F13"/>
    <w:rsid w:val="00104174"/>
    <w:rsid w:val="001059F8"/>
    <w:rsid w:val="00110932"/>
    <w:rsid w:val="001524D0"/>
    <w:rsid w:val="00174107"/>
    <w:rsid w:val="00184489"/>
    <w:rsid w:val="00186692"/>
    <w:rsid w:val="001C2EB7"/>
    <w:rsid w:val="001E05AB"/>
    <w:rsid w:val="001F3C19"/>
    <w:rsid w:val="00235C98"/>
    <w:rsid w:val="0023737F"/>
    <w:rsid w:val="002900DF"/>
    <w:rsid w:val="0029330E"/>
    <w:rsid w:val="0031078C"/>
    <w:rsid w:val="00361219"/>
    <w:rsid w:val="00361ADB"/>
    <w:rsid w:val="00391236"/>
    <w:rsid w:val="003922CD"/>
    <w:rsid w:val="003A0923"/>
    <w:rsid w:val="00447CB4"/>
    <w:rsid w:val="004A0FAB"/>
    <w:rsid w:val="005061A0"/>
    <w:rsid w:val="005526B6"/>
    <w:rsid w:val="005842C6"/>
    <w:rsid w:val="005B6945"/>
    <w:rsid w:val="005E54BD"/>
    <w:rsid w:val="00626929"/>
    <w:rsid w:val="006629DC"/>
    <w:rsid w:val="006776DF"/>
    <w:rsid w:val="00705EE7"/>
    <w:rsid w:val="007411AA"/>
    <w:rsid w:val="00767DD7"/>
    <w:rsid w:val="007745AA"/>
    <w:rsid w:val="007869E3"/>
    <w:rsid w:val="007904F2"/>
    <w:rsid w:val="007C3948"/>
    <w:rsid w:val="007F6E64"/>
    <w:rsid w:val="0081406D"/>
    <w:rsid w:val="008173EB"/>
    <w:rsid w:val="0083041D"/>
    <w:rsid w:val="00834907"/>
    <w:rsid w:val="00885E9E"/>
    <w:rsid w:val="008B205E"/>
    <w:rsid w:val="008B3A12"/>
    <w:rsid w:val="008D1489"/>
    <w:rsid w:val="00903A7B"/>
    <w:rsid w:val="00920051"/>
    <w:rsid w:val="00935DC4"/>
    <w:rsid w:val="009A1FFF"/>
    <w:rsid w:val="009A7EB9"/>
    <w:rsid w:val="009D5E67"/>
    <w:rsid w:val="009E4CDF"/>
    <w:rsid w:val="009F45B7"/>
    <w:rsid w:val="00A27EB2"/>
    <w:rsid w:val="00A31130"/>
    <w:rsid w:val="00A50379"/>
    <w:rsid w:val="00A65101"/>
    <w:rsid w:val="00A7737D"/>
    <w:rsid w:val="00AD000E"/>
    <w:rsid w:val="00AD13EA"/>
    <w:rsid w:val="00B073C2"/>
    <w:rsid w:val="00B30734"/>
    <w:rsid w:val="00B561BF"/>
    <w:rsid w:val="00B71A88"/>
    <w:rsid w:val="00B72BE1"/>
    <w:rsid w:val="00B8074A"/>
    <w:rsid w:val="00B81129"/>
    <w:rsid w:val="00B96777"/>
    <w:rsid w:val="00B97A6C"/>
    <w:rsid w:val="00BC1E5F"/>
    <w:rsid w:val="00BE65DB"/>
    <w:rsid w:val="00BF10AA"/>
    <w:rsid w:val="00C06672"/>
    <w:rsid w:val="00C12A59"/>
    <w:rsid w:val="00C4077D"/>
    <w:rsid w:val="00C83B42"/>
    <w:rsid w:val="00C84436"/>
    <w:rsid w:val="00CB0FF9"/>
    <w:rsid w:val="00CF1C08"/>
    <w:rsid w:val="00D21149"/>
    <w:rsid w:val="00D3186D"/>
    <w:rsid w:val="00D902E8"/>
    <w:rsid w:val="00DC49BD"/>
    <w:rsid w:val="00DD1E4D"/>
    <w:rsid w:val="00DE5D36"/>
    <w:rsid w:val="00E70059"/>
    <w:rsid w:val="00E717C8"/>
    <w:rsid w:val="00E878F6"/>
    <w:rsid w:val="00E929A1"/>
    <w:rsid w:val="00EA4D19"/>
    <w:rsid w:val="00EB101C"/>
    <w:rsid w:val="00ED4AE1"/>
    <w:rsid w:val="00F27D56"/>
    <w:rsid w:val="00F84CBA"/>
    <w:rsid w:val="00F97861"/>
    <w:rsid w:val="00FB452E"/>
    <w:rsid w:val="00FE13B6"/>
    <w:rsid w:val="00FE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7657"/>
  <w15:chartTrackingRefBased/>
  <w15:docId w15:val="{F04F5F7E-D591-4EF2-8E6D-64F43E3C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6DF"/>
    <w:rPr>
      <w:rFonts w:cstheme="minorBidi"/>
      <w:kern w:val="0"/>
      <w:szCs w:val="22"/>
    </w:rPr>
  </w:style>
  <w:style w:type="paragraph" w:styleId="1">
    <w:name w:val="heading 1"/>
    <w:basedOn w:val="a"/>
    <w:next w:val="a"/>
    <w:link w:val="10"/>
    <w:uiPriority w:val="9"/>
    <w:qFormat/>
    <w:rsid w:val="00AD0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0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0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0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0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0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0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0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00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000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000E"/>
    <w:rPr>
      <w:rFonts w:asciiTheme="minorHAnsi" w:eastAsiaTheme="majorEastAsia" w:hAnsiTheme="minorHAnsi" w:cstheme="majorBidi"/>
      <w:color w:val="2F5496" w:themeColor="accent1" w:themeShade="BF"/>
      <w:kern w:val="0"/>
    </w:rPr>
  </w:style>
  <w:style w:type="character" w:customStyle="1" w:styleId="40">
    <w:name w:val="Заголовок 4 Знак"/>
    <w:basedOn w:val="a0"/>
    <w:link w:val="4"/>
    <w:uiPriority w:val="9"/>
    <w:semiHidden/>
    <w:rsid w:val="00AD000E"/>
    <w:rPr>
      <w:rFonts w:asciiTheme="minorHAnsi" w:eastAsiaTheme="majorEastAsia" w:hAnsiTheme="minorHAnsi" w:cstheme="majorBidi"/>
      <w:i/>
      <w:iCs/>
      <w:color w:val="2F5496" w:themeColor="accent1" w:themeShade="BF"/>
      <w:kern w:val="0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D000E"/>
    <w:rPr>
      <w:rFonts w:asciiTheme="minorHAnsi" w:eastAsiaTheme="majorEastAsia" w:hAnsiTheme="minorHAnsi" w:cstheme="majorBidi"/>
      <w:color w:val="2F5496" w:themeColor="accent1" w:themeShade="BF"/>
      <w:kern w:val="0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AD000E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D000E"/>
    <w:rPr>
      <w:rFonts w:asciiTheme="minorHAnsi" w:eastAsiaTheme="majorEastAsia" w:hAnsiTheme="minorHAnsi" w:cstheme="majorBidi"/>
      <w:color w:val="595959" w:themeColor="text1" w:themeTint="A6"/>
      <w:kern w:val="0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AD000E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AD000E"/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paragraph" w:styleId="a3">
    <w:name w:val="Title"/>
    <w:basedOn w:val="a"/>
    <w:next w:val="a"/>
    <w:link w:val="a4"/>
    <w:uiPriority w:val="10"/>
    <w:qFormat/>
    <w:rsid w:val="00AD0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00E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000E"/>
    <w:rPr>
      <w:rFonts w:asciiTheme="minorHAnsi" w:eastAsiaTheme="majorEastAsia" w:hAnsiTheme="minorHAnsi" w:cstheme="majorBidi"/>
      <w:color w:val="595959" w:themeColor="text1" w:themeTint="A6"/>
      <w:spacing w:val="15"/>
      <w:kern w:val="0"/>
    </w:rPr>
  </w:style>
  <w:style w:type="paragraph" w:styleId="21">
    <w:name w:val="Quote"/>
    <w:basedOn w:val="a"/>
    <w:next w:val="a"/>
    <w:link w:val="22"/>
    <w:uiPriority w:val="29"/>
    <w:qFormat/>
    <w:rsid w:val="00AD00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000E"/>
    <w:rPr>
      <w:rFonts w:cstheme="minorBidi"/>
      <w:i/>
      <w:iCs/>
      <w:color w:val="404040" w:themeColor="text1" w:themeTint="BF"/>
      <w:kern w:val="0"/>
      <w:szCs w:val="22"/>
    </w:rPr>
  </w:style>
  <w:style w:type="paragraph" w:styleId="a7">
    <w:name w:val="List Paragraph"/>
    <w:basedOn w:val="a"/>
    <w:uiPriority w:val="34"/>
    <w:qFormat/>
    <w:rsid w:val="00AD00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00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0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000E"/>
    <w:rPr>
      <w:rFonts w:cstheme="minorBidi"/>
      <w:i/>
      <w:iCs/>
      <w:color w:val="2F5496" w:themeColor="accent1" w:themeShade="BF"/>
      <w:kern w:val="0"/>
      <w:szCs w:val="22"/>
    </w:rPr>
  </w:style>
  <w:style w:type="character" w:styleId="ab">
    <w:name w:val="Intense Reference"/>
    <w:basedOn w:val="a0"/>
    <w:uiPriority w:val="32"/>
    <w:qFormat/>
    <w:rsid w:val="00AD000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C2EB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2EB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84436"/>
    <w:rPr>
      <w:color w:val="954F72" w:themeColor="followedHyperlink"/>
      <w:u w:val="single"/>
    </w:rPr>
  </w:style>
  <w:style w:type="paragraph" w:customStyle="1" w:styleId="p1">
    <w:name w:val="p1"/>
    <w:basedOn w:val="a"/>
    <w:rsid w:val="00C84436"/>
    <w:pPr>
      <w:spacing w:line="240" w:lineRule="auto"/>
      <w:ind w:firstLine="0"/>
      <w:jc w:val="left"/>
    </w:pPr>
    <w:rPr>
      <w:rFonts w:ascii="Helvetica" w:eastAsia="Times New Roman" w:hAnsi="Helvetica" w:cs="Times New Roman"/>
      <w:color w:val="000000"/>
      <w:sz w:val="18"/>
      <w:szCs w:val="18"/>
      <w:lang w:eastAsia="ru-RU"/>
      <w14:ligatures w14:val="none"/>
    </w:rPr>
  </w:style>
  <w:style w:type="character" w:customStyle="1" w:styleId="s1">
    <w:name w:val="s1"/>
    <w:basedOn w:val="a0"/>
    <w:rsid w:val="00C84436"/>
    <w:rPr>
      <w:rFonts w:ascii="Times New Roman" w:hAnsi="Times New Roman" w:cs="Times New Roman" w:hint="default"/>
      <w:sz w:val="18"/>
      <w:szCs w:val="18"/>
    </w:rPr>
  </w:style>
  <w:style w:type="paragraph" w:styleId="ae">
    <w:name w:val="Revision"/>
    <w:hidden/>
    <w:uiPriority w:val="99"/>
    <w:semiHidden/>
    <w:rsid w:val="00626929"/>
    <w:pPr>
      <w:spacing w:line="240" w:lineRule="auto"/>
      <w:ind w:firstLine="0"/>
      <w:jc w:val="left"/>
    </w:pPr>
    <w:rPr>
      <w:rFonts w:cstheme="minorBidi"/>
      <w:kern w:val="0"/>
      <w:szCs w:val="22"/>
    </w:rPr>
  </w:style>
  <w:style w:type="paragraph" w:styleId="af">
    <w:name w:val="header"/>
    <w:basedOn w:val="a"/>
    <w:link w:val="af0"/>
    <w:uiPriority w:val="99"/>
    <w:unhideWhenUsed/>
    <w:rsid w:val="007869E3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869E3"/>
    <w:rPr>
      <w:rFonts w:cstheme="minorBidi"/>
      <w:kern w:val="0"/>
      <w:szCs w:val="22"/>
    </w:rPr>
  </w:style>
  <w:style w:type="paragraph" w:styleId="af1">
    <w:name w:val="footer"/>
    <w:basedOn w:val="a"/>
    <w:link w:val="af2"/>
    <w:uiPriority w:val="99"/>
    <w:unhideWhenUsed/>
    <w:rsid w:val="007869E3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869E3"/>
    <w:rPr>
      <w:rFonts w:cstheme="minorBidi"/>
      <w:kern w:val="0"/>
      <w:szCs w:val="22"/>
    </w:rPr>
  </w:style>
  <w:style w:type="table" w:styleId="af3">
    <w:name w:val="Table Grid"/>
    <w:basedOn w:val="a1"/>
    <w:uiPriority w:val="39"/>
    <w:rsid w:val="005061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B97A6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  <w14:ligatures w14:val="none"/>
    </w:rPr>
  </w:style>
  <w:style w:type="character" w:styleId="af5">
    <w:name w:val="Placeholder Text"/>
    <w:basedOn w:val="a0"/>
    <w:uiPriority w:val="99"/>
    <w:semiHidden/>
    <w:rsid w:val="005B69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Попов</dc:creator>
  <cp:keywords/>
  <dc:description/>
  <cp:lastModifiedBy>Gant9505</cp:lastModifiedBy>
  <cp:revision>9</cp:revision>
  <cp:lastPrinted>2025-09-29T15:00:00Z</cp:lastPrinted>
  <dcterms:created xsi:type="dcterms:W3CDTF">2026-01-15T14:16:00Z</dcterms:created>
  <dcterms:modified xsi:type="dcterms:W3CDTF">2026-03-02T12:23:00Z</dcterms:modified>
</cp:coreProperties>
</file>