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ИЗВЛЕЧЕНИЕ ВЫХОДОВ РЕАКЦИИ ЭКСКЛЮЗИВНОГО ЭЛЕКТРОРОЖДЕНИЯ</w:t>
      </w:r>
      <w:r>
        <w:rPr>
          <w:spacing w:val="-7"/>
        </w:rPr>
        <w:t> </w:t>
      </w:r>
      <w:r>
        <w:rPr/>
        <w:t>НЕЙТРАЛЬНОГО</w:t>
      </w:r>
      <w:r>
        <w:rPr>
          <w:spacing w:val="-7"/>
        </w:rPr>
        <w:t> </w:t>
      </w:r>
      <w:r>
        <w:rPr/>
        <w:t>ПИОНА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ПРОТОНЕ</w:t>
      </w:r>
      <w:r>
        <w:rPr>
          <w:spacing w:val="40"/>
        </w:rPr>
        <w:t> </w:t>
      </w:r>
      <w:r>
        <w:rPr/>
        <w:t>В ДВУХФОТОННОЙ</w:t>
      </w:r>
      <w:r>
        <w:rPr>
          <w:spacing w:val="-12"/>
        </w:rPr>
        <w:t> </w:t>
      </w:r>
      <w:r>
        <w:rPr/>
        <w:t>КОНФИГУРАЦИИ</w:t>
      </w:r>
      <w:r>
        <w:rPr>
          <w:spacing w:val="-12"/>
        </w:rPr>
        <w:t> </w:t>
      </w:r>
      <w:r>
        <w:rPr/>
        <w:t>КОНЕЧНОГО</w:t>
      </w:r>
      <w:r>
        <w:rPr>
          <w:spacing w:val="-12"/>
        </w:rPr>
        <w:t> </w:t>
      </w:r>
      <w:r>
        <w:rPr/>
        <w:t>СОСТОЯНИЯ ИЗ ДАННЫХ ДЕТЕКТОРА CLAS12</w:t>
      </w:r>
    </w:p>
    <w:p>
      <w:pPr>
        <w:pStyle w:val="BodyText"/>
        <w:spacing w:before="120"/>
        <w:ind w:left="1" w:right="1"/>
        <w:jc w:val="center"/>
      </w:pPr>
      <w:r>
        <w:rPr/>
        <w:t>А.</w:t>
      </w:r>
      <w:r>
        <w:rPr>
          <w:spacing w:val="-3"/>
        </w:rPr>
        <w:t> </w:t>
      </w:r>
      <w:r>
        <w:rPr/>
        <w:t>Н.</w:t>
      </w:r>
      <w:r>
        <w:rPr>
          <w:spacing w:val="-1"/>
        </w:rPr>
        <w:t> </w:t>
      </w:r>
      <w:r>
        <w:rPr/>
        <w:t>Павлова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В.</w:t>
      </w:r>
      <w:r>
        <w:rPr>
          <w:spacing w:val="-1"/>
          <w:vertAlign w:val="baseline"/>
        </w:rPr>
        <w:t> </w:t>
      </w:r>
      <w:r>
        <w:rPr>
          <w:vertAlign w:val="baseline"/>
        </w:rPr>
        <w:t>Б.</w:t>
      </w:r>
      <w:r>
        <w:rPr>
          <w:spacing w:val="-1"/>
          <w:vertAlign w:val="baseline"/>
        </w:rPr>
        <w:t> </w:t>
      </w:r>
      <w:r>
        <w:rPr>
          <w:vertAlign w:val="baseline"/>
        </w:rPr>
        <w:t>Рыжков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А.</w:t>
      </w:r>
      <w:r>
        <w:rPr>
          <w:spacing w:val="-1"/>
          <w:vertAlign w:val="baseline"/>
        </w:rPr>
        <w:t> </w:t>
      </w:r>
      <w:r>
        <w:rPr>
          <w:vertAlign w:val="baseline"/>
        </w:rPr>
        <w:t>А.</w:t>
      </w:r>
      <w:r>
        <w:rPr>
          <w:spacing w:val="-1"/>
          <w:vertAlign w:val="baseline"/>
        </w:rPr>
        <w:t> </w:t>
      </w:r>
      <w:r>
        <w:rPr>
          <w:vertAlign w:val="baseline"/>
        </w:rPr>
        <w:t>Русова</w:t>
      </w:r>
      <w:r>
        <w:rPr>
          <w:vertAlign w:val="superscript"/>
        </w:rPr>
        <w:t>1,2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Е.</w:t>
      </w:r>
      <w:r>
        <w:rPr>
          <w:spacing w:val="-1"/>
          <w:vertAlign w:val="baseline"/>
        </w:rPr>
        <w:t> </w:t>
      </w:r>
      <w:r>
        <w:rPr>
          <w:vertAlign w:val="baseline"/>
        </w:rPr>
        <w:t>Л. </w:t>
      </w:r>
      <w:r>
        <w:rPr>
          <w:spacing w:val="-2"/>
          <w:vertAlign w:val="baseline"/>
        </w:rPr>
        <w:t>Исупов</w:t>
      </w:r>
      <w:r>
        <w:rPr>
          <w:spacing w:val="-2"/>
          <w:vertAlign w:val="superscript"/>
        </w:rPr>
        <w:t>2</w:t>
      </w:r>
    </w:p>
    <w:p>
      <w:pPr>
        <w:spacing w:before="120"/>
        <w:ind w:left="872" w:right="870" w:firstLine="0"/>
        <w:jc w:val="center"/>
        <w:rPr>
          <w:i/>
          <w:sz w:val="22"/>
        </w:rPr>
      </w:pPr>
      <w:r>
        <w:rPr>
          <w:i/>
          <w:sz w:val="22"/>
          <w:vertAlign w:val="superscript"/>
        </w:rPr>
        <w:t>1</w:t>
      </w:r>
      <w:r>
        <w:rPr>
          <w:i/>
          <w:sz w:val="22"/>
          <w:vertAlign w:val="baseline"/>
        </w:rPr>
        <w:t>Московский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государственный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университет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имени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М.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В.</w:t>
      </w:r>
      <w:r>
        <w:rPr>
          <w:i/>
          <w:spacing w:val="-7"/>
          <w:sz w:val="22"/>
          <w:vertAlign w:val="baseline"/>
        </w:rPr>
        <w:t> </w:t>
      </w:r>
      <w:r>
        <w:rPr>
          <w:i/>
          <w:sz w:val="22"/>
          <w:vertAlign w:val="baseline"/>
        </w:rPr>
        <w:t>Ломоносова, физический факультет, Москва, Россия</w:t>
      </w:r>
    </w:p>
    <w:p>
      <w:pPr>
        <w:spacing w:before="120"/>
        <w:ind w:left="863" w:right="862" w:firstLine="564"/>
        <w:jc w:val="left"/>
        <w:rPr>
          <w:i/>
          <w:sz w:val="22"/>
        </w:rPr>
      </w:pPr>
      <w:r>
        <w:rPr>
          <w:i/>
          <w:sz w:val="22"/>
          <w:vertAlign w:val="superscript"/>
        </w:rPr>
        <w:t>2</w:t>
      </w:r>
      <w:r>
        <w:rPr>
          <w:i/>
          <w:sz w:val="22"/>
          <w:vertAlign w:val="baseline"/>
        </w:rPr>
        <w:t>Московский государственный университет имени М. В. Ломоносова Научно-исследовательский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институт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ядерной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физики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имени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Д.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В.</w:t>
      </w:r>
      <w:r>
        <w:rPr>
          <w:i/>
          <w:spacing w:val="-6"/>
          <w:sz w:val="22"/>
          <w:vertAlign w:val="baseline"/>
        </w:rPr>
        <w:t> </w:t>
      </w:r>
      <w:r>
        <w:rPr>
          <w:i/>
          <w:sz w:val="22"/>
          <w:vertAlign w:val="baseline"/>
        </w:rPr>
        <w:t>Скобельцына,</w:t>
      </w:r>
    </w:p>
    <w:p>
      <w:pPr>
        <w:spacing w:before="0"/>
        <w:ind w:left="0" w:right="1" w:firstLine="0"/>
        <w:jc w:val="center"/>
        <w:rPr>
          <w:i/>
          <w:sz w:val="22"/>
        </w:rPr>
      </w:pPr>
      <w:r>
        <w:rPr>
          <w:i/>
          <w:sz w:val="22"/>
        </w:rPr>
        <w:t>Москва, </w:t>
      </w:r>
      <w:r>
        <w:rPr>
          <w:i/>
          <w:spacing w:val="-2"/>
          <w:sz w:val="22"/>
        </w:rPr>
        <w:t>Россия</w:t>
      </w:r>
    </w:p>
    <w:p>
      <w:pPr>
        <w:spacing w:before="120"/>
        <w:ind w:left="0" w:right="1" w:firstLine="0"/>
        <w:jc w:val="center"/>
        <w:rPr>
          <w:sz w:val="22"/>
        </w:rPr>
      </w:pPr>
      <w:r>
        <w:rPr>
          <w:sz w:val="22"/>
        </w:rPr>
        <w:t>E–mail:</w:t>
      </w:r>
      <w:r>
        <w:rPr>
          <w:spacing w:val="-8"/>
          <w:sz w:val="22"/>
        </w:rPr>
        <w:t> </w:t>
      </w:r>
      <w:hyperlink r:id="rId5">
        <w:r>
          <w:rPr>
            <w:spacing w:val="-2"/>
            <w:sz w:val="22"/>
            <w:u w:val="single"/>
          </w:rPr>
          <w:t>pavlovaan@my.msu.ru</w:t>
        </w:r>
      </w:hyperlink>
    </w:p>
    <w:p>
      <w:pPr>
        <w:pStyle w:val="BodyText"/>
        <w:spacing w:before="120"/>
        <w:ind w:left="85" w:right="123" w:firstLine="659"/>
      </w:pPr>
      <w:r>
        <w:rPr/>
        <w:t>Для изучения структуры возбужденных состояний нуклона необходима информация о дифференциальных сечениях электророждения одиночного пиона на протоне [1], в частности, из канала с рождением нейтрального пиона [2]. В работе выполнен анализ данных, полученных на детекторе CLAS12, при начальной энергии пучка</w:t>
      </w:r>
      <w:r>
        <w:rPr>
          <w:spacing w:val="-4"/>
        </w:rPr>
        <w:t> </w:t>
      </w:r>
      <w:r>
        <w:rPr/>
        <w:t>электронов</w:t>
      </w:r>
      <w:r>
        <w:rPr>
          <w:spacing w:val="-4"/>
        </w:rPr>
        <w:t> </w:t>
      </w:r>
      <w:r>
        <w:rPr/>
        <w:t>6.535</w:t>
      </w:r>
      <w:r>
        <w:rPr>
          <w:spacing w:val="-4"/>
        </w:rPr>
        <w:t> </w:t>
      </w:r>
      <w:r>
        <w:rPr/>
        <w:t>ГэВ.</w:t>
      </w:r>
      <w:r>
        <w:rPr>
          <w:spacing w:val="-4"/>
        </w:rPr>
        <w:t> </w:t>
      </w:r>
      <w:r>
        <w:rPr/>
        <w:t>Регистрация</w:t>
      </w:r>
      <w:r>
        <w:rPr>
          <w:spacing w:val="-4"/>
        </w:rPr>
        <w:t> </w:t>
      </w:r>
      <w:r>
        <w:rPr/>
        <w:t>двух</w:t>
      </w:r>
      <w:r>
        <w:rPr>
          <w:spacing w:val="-4"/>
        </w:rPr>
        <w:t> </w:t>
      </w:r>
      <w:r>
        <w:rPr/>
        <w:t>фотонов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распада</w:t>
      </w:r>
      <w:r>
        <w:rPr>
          <w:spacing w:val="-4"/>
        </w:rPr>
        <w:t> </w:t>
      </w:r>
      <w:r>
        <w:rPr/>
        <w:t>нейтрального</w:t>
      </w:r>
      <w:r>
        <w:rPr>
          <w:spacing w:val="-4"/>
        </w:rPr>
        <w:t> </w:t>
      </w:r>
      <w:r>
        <w:rPr/>
        <w:t>пиона</w:t>
      </w:r>
      <w:r>
        <w:rPr>
          <w:spacing w:val="-4"/>
        </w:rPr>
        <w:t> </w:t>
      </w:r>
      <w:r>
        <w:rPr/>
        <w:t>в совокупности с разработанными критериями отбора позволяет снизить влияние</w:t>
      </w:r>
      <w:r>
        <w:rPr>
          <w:spacing w:val="40"/>
        </w:rPr>
        <w:t> </w:t>
      </w:r>
      <w:r>
        <w:rPr/>
        <w:t>фоновых событий. В результате получены выходы реакции как функция двух переменных: инвариантной массы конечных адронов W и виртуальности фотона </w:t>
      </w:r>
      <w:r>
        <w:rPr>
          <w:rFonts w:ascii="Tahoma" w:hAnsi="Tahoma" w:eastAsia="Tahoma"/>
        </w:rPr>
        <w:t>𝑄</w:t>
      </w:r>
      <w:r>
        <w:rPr>
          <w:rFonts w:ascii="Tahoma" w:hAnsi="Tahoma" w:eastAsia="Tahoma"/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31"/>
        <w:ind w:left="85" w:right="159" w:firstLine="659"/>
      </w:pPr>
      <w:r>
        <w:rPr/>
        <w:t>Полученные зависимости выходов реакции как функции двух переменных необходимы для оценки областей кинематических переменных, в которых доступно извлечение дифференциальных сечений. Исследование Монте-Карло моделирования реакции электророждения нейтрального пиона на протоне дает возможность в совокупности с экспериментальными данными оценить эффективность детектора CLAS12. С помощью генератора MCEGENpiN radcorr V9b на основе MAID2007 [3] были</w:t>
      </w:r>
      <w:r>
        <w:rPr>
          <w:spacing w:val="-4"/>
        </w:rPr>
        <w:t> </w:t>
      </w:r>
      <w:r>
        <w:rPr/>
        <w:t>рассчитаны</w:t>
      </w:r>
      <w:r>
        <w:rPr>
          <w:spacing w:val="-4"/>
        </w:rPr>
        <w:t> </w:t>
      </w:r>
      <w:r>
        <w:rPr/>
        <w:t>выходы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функции</w:t>
      </w:r>
      <w:r>
        <w:rPr>
          <w:spacing w:val="-4"/>
        </w:rPr>
        <w:t> </w:t>
      </w:r>
      <w:r>
        <w:rPr/>
        <w:t>четырех</w:t>
      </w:r>
      <w:r>
        <w:rPr>
          <w:spacing w:val="-4"/>
        </w:rPr>
        <w:t> </w:t>
      </w:r>
      <w:r>
        <w:rPr/>
        <w:t>переменных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сделаны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поправки</w:t>
      </w:r>
      <w:r>
        <w:rPr>
          <w:spacing w:val="-4"/>
        </w:rPr>
        <w:t> </w:t>
      </w:r>
      <w:r>
        <w:rPr/>
        <w:t>на эффективность. Это позволит в будущем извлечь информацию о дифференциальных</w:t>
      </w:r>
    </w:p>
    <w:p>
      <w:pPr>
        <w:pStyle w:val="BodyText"/>
        <w:spacing w:line="296" w:lineRule="exact"/>
        <w:ind w:left="85"/>
      </w:pPr>
      <w:r>
        <w:rPr>
          <w:w w:val="90"/>
        </w:rPr>
        <w:t>сечениях</w:t>
      </w:r>
      <w:r>
        <w:rPr>
          <w:spacing w:val="-8"/>
          <w:w w:val="90"/>
        </w:rPr>
        <w:t> </w:t>
      </w:r>
      <w:r>
        <w:rPr>
          <w:w w:val="90"/>
        </w:rPr>
        <w:t>рассеяния</w:t>
      </w:r>
      <w:r>
        <w:rPr>
          <w:spacing w:val="-2"/>
        </w:rPr>
        <w:t> </w:t>
      </w:r>
      <w:r>
        <w:rPr>
          <w:w w:val="90"/>
        </w:rPr>
        <w:t>реакции</w:t>
      </w:r>
      <w:r>
        <w:rPr>
          <w:spacing w:val="-1"/>
        </w:rPr>
        <w:t> </w:t>
      </w:r>
      <w:r>
        <w:rPr>
          <w:rFonts w:ascii="Tahoma" w:hAnsi="Tahoma" w:eastAsia="Tahoma"/>
          <w:w w:val="75"/>
        </w:rPr>
        <w:t>𝑒</w:t>
      </w:r>
      <w:r>
        <w:rPr>
          <w:rFonts w:ascii="Tahoma" w:hAnsi="Tahoma" w:eastAsia="Tahoma"/>
          <w:spacing w:val="-3"/>
          <w:w w:val="75"/>
        </w:rPr>
        <w:t> </w:t>
      </w:r>
      <w:r>
        <w:rPr>
          <w:rFonts w:ascii="Tahoma" w:hAnsi="Tahoma" w:eastAsia="Tahoma"/>
          <w:w w:val="90"/>
        </w:rPr>
        <w:t>+</w:t>
      </w:r>
      <w:r>
        <w:rPr>
          <w:rFonts w:ascii="Tahoma" w:hAnsi="Tahoma" w:eastAsia="Tahoma"/>
          <w:spacing w:val="-19"/>
          <w:w w:val="90"/>
        </w:rPr>
        <w:t> </w:t>
      </w:r>
      <w:r>
        <w:rPr>
          <w:rFonts w:ascii="Tahoma" w:hAnsi="Tahoma" w:eastAsia="Tahoma"/>
          <w:w w:val="75"/>
        </w:rPr>
        <w:t>𝑝</w:t>
      </w:r>
      <w:r>
        <w:rPr>
          <w:rFonts w:ascii="Tahoma" w:hAnsi="Tahoma" w:eastAsia="Tahoma"/>
          <w:spacing w:val="-11"/>
          <w:w w:val="90"/>
        </w:rPr>
        <w:t> </w:t>
      </w:r>
      <w:r>
        <w:rPr>
          <w:rFonts w:ascii="Segoe UI Symbol" w:hAnsi="Segoe UI Symbol" w:eastAsia="Segoe UI Symbol"/>
          <w:w w:val="90"/>
        </w:rPr>
        <w:t>➛</w:t>
      </w:r>
      <w:r>
        <w:rPr>
          <w:rFonts w:ascii="Segoe UI Symbol" w:hAnsi="Segoe UI Symbol" w:eastAsia="Segoe UI Symbol"/>
          <w:spacing w:val="30"/>
        </w:rPr>
        <w:t> </w:t>
      </w:r>
      <w:r>
        <w:rPr>
          <w:rFonts w:ascii="Tahoma" w:hAnsi="Tahoma" w:eastAsia="Tahoma"/>
          <w:w w:val="90"/>
        </w:rPr>
        <w:t>𝑒</w:t>
      </w:r>
      <w:r>
        <w:rPr>
          <w:rFonts w:ascii="Tahoma" w:hAnsi="Tahoma" w:eastAsia="Tahoma"/>
          <w:w w:val="90"/>
          <w:position w:val="10"/>
        </w:rPr>
        <w:t>′</w:t>
      </w:r>
      <w:r>
        <w:rPr>
          <w:rFonts w:ascii="Tahoma" w:hAnsi="Tahoma" w:eastAsia="Tahoma"/>
          <w:spacing w:val="-16"/>
          <w:w w:val="90"/>
          <w:position w:val="10"/>
        </w:rPr>
        <w:t> </w:t>
      </w:r>
      <w:r>
        <w:rPr>
          <w:rFonts w:ascii="Tahoma" w:hAnsi="Tahoma" w:eastAsia="Tahoma"/>
          <w:w w:val="90"/>
        </w:rPr>
        <w:t>+</w:t>
      </w:r>
      <w:r>
        <w:rPr>
          <w:rFonts w:ascii="Tahoma" w:hAnsi="Tahoma" w:eastAsia="Tahoma"/>
          <w:spacing w:val="-18"/>
          <w:w w:val="90"/>
        </w:rPr>
        <w:t> </w:t>
      </w:r>
      <w:r>
        <w:rPr>
          <w:rFonts w:ascii="Tahoma" w:hAnsi="Tahoma" w:eastAsia="Tahoma"/>
          <w:w w:val="90"/>
        </w:rPr>
        <w:t>𝑝</w:t>
      </w:r>
      <w:r>
        <w:rPr>
          <w:rFonts w:ascii="Tahoma" w:hAnsi="Tahoma" w:eastAsia="Tahoma"/>
          <w:w w:val="90"/>
          <w:position w:val="10"/>
        </w:rPr>
        <w:t>′</w:t>
      </w:r>
      <w:r>
        <w:rPr>
          <w:rFonts w:ascii="Tahoma" w:hAnsi="Tahoma" w:eastAsia="Tahoma"/>
          <w:spacing w:val="-16"/>
          <w:w w:val="90"/>
          <w:position w:val="10"/>
        </w:rPr>
        <w:t> </w:t>
      </w:r>
      <w:r>
        <w:rPr>
          <w:rFonts w:ascii="Tahoma" w:hAnsi="Tahoma" w:eastAsia="Tahoma"/>
          <w:w w:val="90"/>
        </w:rPr>
        <w:t>+</w:t>
      </w:r>
      <w:r>
        <w:rPr>
          <w:rFonts w:ascii="Tahoma" w:hAnsi="Tahoma" w:eastAsia="Tahoma"/>
          <w:spacing w:val="-18"/>
          <w:w w:val="90"/>
        </w:rPr>
        <w:t> </w:t>
      </w:r>
      <w:r>
        <w:rPr>
          <w:rFonts w:ascii="Tahoma" w:hAnsi="Tahoma" w:eastAsia="Tahoma"/>
          <w:spacing w:val="-5"/>
          <w:w w:val="90"/>
        </w:rPr>
        <w:t>𝜋</w:t>
      </w:r>
      <w:r>
        <w:rPr>
          <w:rFonts w:ascii="Tahoma" w:hAnsi="Tahoma" w:eastAsia="Tahoma"/>
          <w:spacing w:val="-5"/>
          <w:w w:val="90"/>
          <w:vertAlign w:val="superscript"/>
        </w:rPr>
        <w:t>0</w:t>
      </w:r>
      <w:r>
        <w:rPr>
          <w:spacing w:val="-5"/>
          <w:w w:val="90"/>
          <w:vertAlign w:val="baseline"/>
        </w:rPr>
        <w:t>.</w:t>
      </w:r>
    </w:p>
    <w:p>
      <w:pPr>
        <w:pStyle w:val="BodyText"/>
        <w:spacing w:before="237"/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534" w:hanging="360"/>
        <w:jc w:val="left"/>
        <w:rPr>
          <w:sz w:val="22"/>
        </w:rPr>
      </w:pPr>
      <w:r>
        <w:rPr>
          <w:sz w:val="22"/>
        </w:rPr>
        <w:t>Aznauryan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G.,</w:t>
      </w:r>
      <w:r>
        <w:rPr>
          <w:spacing w:val="-3"/>
          <w:sz w:val="22"/>
        </w:rPr>
        <w:t> </w:t>
      </w:r>
      <w:r>
        <w:rPr>
          <w:sz w:val="22"/>
        </w:rPr>
        <w:t>Burkert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Electroexcitation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nucleon</w:t>
      </w:r>
      <w:r>
        <w:rPr>
          <w:spacing w:val="-3"/>
          <w:sz w:val="22"/>
        </w:rPr>
        <w:t> </w:t>
      </w:r>
      <w:r>
        <w:rPr>
          <w:sz w:val="22"/>
        </w:rPr>
        <w:t>resonances</w:t>
      </w:r>
      <w:r>
        <w:rPr>
          <w:spacing w:val="-3"/>
          <w:sz w:val="22"/>
        </w:rPr>
        <w:t> </w:t>
      </w:r>
      <w:r>
        <w:rPr>
          <w:sz w:val="22"/>
        </w:rPr>
        <w:t>//</w:t>
      </w:r>
      <w:r>
        <w:rPr>
          <w:spacing w:val="-3"/>
          <w:sz w:val="22"/>
        </w:rPr>
        <w:t> </w:t>
      </w:r>
      <w:r>
        <w:rPr>
          <w:sz w:val="22"/>
        </w:rPr>
        <w:t>Prog.</w:t>
      </w:r>
      <w:r>
        <w:rPr>
          <w:spacing w:val="-3"/>
          <w:sz w:val="22"/>
        </w:rPr>
        <w:t> </w:t>
      </w:r>
      <w:r>
        <w:rPr>
          <w:sz w:val="22"/>
        </w:rPr>
        <w:t>Part.</w:t>
      </w:r>
      <w:r>
        <w:rPr>
          <w:spacing w:val="-3"/>
          <w:sz w:val="22"/>
        </w:rPr>
        <w:t> </w:t>
      </w:r>
      <w:r>
        <w:rPr>
          <w:sz w:val="22"/>
        </w:rPr>
        <w:t>Nucl. Phys. — 2012. — Vol. 67, no. 1. — P. 1-54.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345" w:hanging="360"/>
        <w:jc w:val="left"/>
        <w:rPr>
          <w:sz w:val="22"/>
        </w:rPr>
      </w:pPr>
      <w:r>
        <w:rPr>
          <w:sz w:val="22"/>
        </w:rPr>
        <w:t>Markov</w:t>
      </w:r>
      <w:r>
        <w:rPr>
          <w:spacing w:val="-3"/>
          <w:sz w:val="22"/>
        </w:rPr>
        <w:t> </w:t>
      </w:r>
      <w:r>
        <w:rPr>
          <w:sz w:val="22"/>
        </w:rPr>
        <w:t>N.,</w:t>
      </w:r>
      <w:r>
        <w:rPr>
          <w:spacing w:val="-3"/>
          <w:sz w:val="22"/>
        </w:rPr>
        <w:t> </w:t>
      </w:r>
      <w:r>
        <w:rPr>
          <w:sz w:val="22"/>
        </w:rPr>
        <w:t>Joo</w:t>
      </w:r>
      <w:r>
        <w:rPr>
          <w:spacing w:val="-3"/>
          <w:sz w:val="22"/>
        </w:rPr>
        <w:t> </w:t>
      </w:r>
      <w:r>
        <w:rPr>
          <w:sz w:val="22"/>
        </w:rPr>
        <w:t>K.,</w:t>
      </w:r>
      <w:r>
        <w:rPr>
          <w:spacing w:val="-3"/>
          <w:sz w:val="22"/>
        </w:rPr>
        <w:t> </w:t>
      </w:r>
      <w:r>
        <w:rPr>
          <w:sz w:val="22"/>
        </w:rPr>
        <w:t>Burkert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[et</w:t>
      </w:r>
      <w:r>
        <w:rPr>
          <w:spacing w:val="-3"/>
          <w:sz w:val="22"/>
        </w:rPr>
        <w:t> </w:t>
      </w:r>
      <w:r>
        <w:rPr>
          <w:sz w:val="22"/>
        </w:rPr>
        <w:t>al.]</w:t>
      </w:r>
      <w:r>
        <w:rPr>
          <w:spacing w:val="-3"/>
          <w:sz w:val="22"/>
        </w:rPr>
        <w:t> </w:t>
      </w:r>
      <w:r>
        <w:rPr>
          <w:sz w:val="22"/>
        </w:rPr>
        <w:t>Exclusive</w:t>
      </w:r>
      <w:r>
        <w:rPr>
          <w:spacing w:val="-3"/>
          <w:sz w:val="22"/>
        </w:rPr>
        <w:t> </w:t>
      </w:r>
      <w:r>
        <w:rPr>
          <w:sz w:val="22"/>
        </w:rPr>
        <w:t>π</w:t>
      </w:r>
      <w:r>
        <w:rPr>
          <w:spacing w:val="-3"/>
          <w:sz w:val="22"/>
        </w:rPr>
        <w:t> </w:t>
      </w:r>
      <w:r>
        <w:rPr>
          <w:sz w:val="22"/>
        </w:rPr>
        <w:t>0</w:t>
      </w:r>
      <w:r>
        <w:rPr>
          <w:spacing w:val="-3"/>
          <w:sz w:val="22"/>
        </w:rPr>
        <w:t> </w:t>
      </w:r>
      <w:r>
        <w:rPr>
          <w:sz w:val="22"/>
        </w:rPr>
        <w:t>p</w:t>
      </w:r>
      <w:r>
        <w:rPr>
          <w:spacing w:val="-3"/>
          <w:sz w:val="22"/>
        </w:rPr>
        <w:t> </w:t>
      </w:r>
      <w:r>
        <w:rPr>
          <w:sz w:val="22"/>
        </w:rPr>
        <w:t>electroproduction</w:t>
      </w:r>
      <w:r>
        <w:rPr>
          <w:spacing w:val="-3"/>
          <w:sz w:val="22"/>
        </w:rPr>
        <w:t> </w:t>
      </w:r>
      <w:r>
        <w:rPr>
          <w:sz w:val="22"/>
        </w:rPr>
        <w:t>off</w:t>
      </w:r>
      <w:r>
        <w:rPr>
          <w:spacing w:val="-3"/>
          <w:sz w:val="22"/>
        </w:rPr>
        <w:t> </w:t>
      </w:r>
      <w:r>
        <w:rPr>
          <w:sz w:val="22"/>
        </w:rPr>
        <w:t>protons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 resonance region at photon virtualities 0.4 GeV2 ≤ Q 2 ≤ 1 GeV2 // Physical Review C. — 2020. — Vol. 101. — P. 015208. — DOI: 10.1103/PhysRevC.101.015208.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5" w:right="0" w:hanging="360"/>
        <w:jc w:val="left"/>
        <w:rPr>
          <w:sz w:val="22"/>
        </w:rPr>
      </w:pPr>
      <w:r>
        <w:rPr>
          <w:spacing w:val="-2"/>
          <w:sz w:val="22"/>
        </w:rPr>
        <w:t>https://github.com/naya2507/MCEGENpiN_radcorr_naya</w:t>
      </w:r>
    </w:p>
    <w:sectPr>
      <w:type w:val="continuous"/>
      <w:pgSz w:w="11900" w:h="16840"/>
      <w:pgMar w:top="10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89" w:right="189" w:hanging="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05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pavlovaan@my.msu.ru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dc:title>template_potoki.pdf</dc:title>
  <dcterms:created xsi:type="dcterms:W3CDTF">2026-03-01T09:10:43Z</dcterms:created>
  <dcterms:modified xsi:type="dcterms:W3CDTF">2026-03-01T09:10:43Z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2026-03-01T00:00:00Z</vt:filetime>
  </property>
  <property fmtid="{D5CDD505-2E9C-101B-9397-08002B2CF9AE}" pid="3" name="Creator">
    <vt:lpwstr>R7-Office/2024.1.1.375</vt:lpwstr>
  </property>
  <property fmtid="{D5CDD505-2E9C-101B-9397-08002B2CF9AE}" pid="4" name="LastSaved">
    <vt:filetime>2026-03-01T00:00:00Z</vt:filetime>
  </property>
  <property fmtid="{D5CDD505-2E9C-101B-9397-08002B2CF9AE}" pid="5" name="Producer">
    <vt:lpwstr>R7-Office/2024.1.1.375</vt:lpwstr>
  </property>
</Properties>
</file>