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/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Исследование чувствительности экспериментов на БАК к процессу ассоциативного рождения бозона Хиггса с одиночным топ-кварком в рамках Стандартной модели и за её пределами для Run 3 и предстоящего периода высокой светимости (HL-LHC)</w:t>
      </w:r>
    </w:p>
    <w:p>
      <w:pPr>
        <w:pStyle w:val="Normal"/>
        <w:bidi w:val="0"/>
        <w:jc w:val="center"/>
        <w:rPr>
          <w:i/>
          <w:i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Дадашова А.Э.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>1,2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 Гусейнов Н.А.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 Бойко И.Р.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, </w:t>
      </w:r>
      <w:r>
        <w:rPr>
          <w:rFonts w:ascii="Times New Roman" w:hAnsi="Times New Roman"/>
          <w:b/>
          <w:bCs/>
          <w:i/>
          <w:sz w:val="24"/>
          <w:szCs w:val="24"/>
          <w:lang w:val="ru-RU"/>
        </w:rPr>
        <w:t>Азимзаде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 xml:space="preserve"> Р.Т.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/>
          <w:b/>
          <w:bCs/>
          <w:i/>
          <w:iCs/>
          <w:sz w:val="24"/>
          <w:szCs w:val="24"/>
          <w:lang w:val="ru-RU"/>
        </w:rPr>
        <w:t>, Любушкин В.В.</w:t>
      </w:r>
      <w:r>
        <w:rPr>
          <w:rFonts w:ascii="Times New Roman" w:hAnsi="Times New Roman"/>
          <w:b/>
          <w:bCs/>
          <w:i/>
          <w:iCs/>
          <w:sz w:val="24"/>
          <w:szCs w:val="24"/>
          <w:vertAlign w:val="superscript"/>
          <w:lang w:val="ru-RU"/>
        </w:rPr>
        <w:t>2</w:t>
      </w:r>
    </w:p>
    <w:p>
      <w:pPr>
        <w:pStyle w:val="Normal"/>
        <w:bidi w:val="0"/>
        <w:jc w:val="center"/>
        <w:rPr>
          <w:b w:val="false"/>
          <w:bCs w:val="false"/>
          <w:i/>
          <w:i/>
          <w:position w:val="0"/>
          <w:sz w:val="24"/>
          <w:sz w:val="24"/>
          <w:vertAlign w:val="baseline"/>
        </w:rPr>
      </w:pPr>
      <w:r>
        <w:rPr>
          <w:rFonts w:ascii="Times New Roman" w:hAnsi="Times New Roman"/>
          <w:b w:val="false"/>
          <w:bCs w:val="false"/>
          <w:i/>
          <w:iCs/>
          <w:position w:val="0"/>
          <w:sz w:val="24"/>
          <w:sz w:val="24"/>
          <w:szCs w:val="24"/>
          <w:vertAlign w:val="baseline"/>
          <w:lang w:val="ru-RU"/>
        </w:rPr>
        <w:t>Студент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vertAlign w:val="superscript"/>
          <w:lang w:val="ru-RU"/>
        </w:rPr>
        <w:t>1</w:t>
      </w:r>
      <w:r>
        <w:rPr>
          <w:rFonts w:ascii="Times New Roman" w:hAnsi="Times New Roman"/>
          <w:b w:val="false"/>
          <w:bCs w:val="false"/>
          <w:i/>
          <w:iCs/>
          <w:position w:val="0"/>
          <w:sz w:val="24"/>
          <w:sz w:val="24"/>
          <w:szCs w:val="24"/>
          <w:vertAlign w:val="baseline"/>
          <w:lang w:val="ru-RU"/>
        </w:rPr>
        <w:t>, лаборант</w:t>
      </w:r>
      <w:r>
        <w:rPr>
          <w:rFonts w:ascii="Times New Roman" w:hAnsi="Times New Roman"/>
          <w:b w:val="false"/>
          <w:bCs w:val="false"/>
          <w:i/>
          <w:iCs/>
          <w:sz w:val="24"/>
          <w:szCs w:val="24"/>
          <w:vertAlign w:val="superscript"/>
          <w:lang w:val="ru-RU"/>
        </w:rPr>
        <w:t>2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b w:val="false"/>
          <w:bCs w:val="false"/>
          <w:i/>
          <w:iCs/>
          <w:sz w:val="24"/>
          <w:szCs w:val="24"/>
          <w:vertAlign w:val="superscript"/>
          <w:lang w:val="ru-RU"/>
        </w:rPr>
        <w:t>1</w:t>
      </w:r>
      <w:r>
        <w:rPr>
          <w:rFonts w:ascii="Times New Roman" w:hAnsi="Times New Roman"/>
          <w:b w:val="false"/>
          <w:bCs w:val="false"/>
          <w:i/>
          <w:iCs/>
          <w:position w:val="0"/>
          <w:sz w:val="24"/>
          <w:sz w:val="24"/>
          <w:szCs w:val="24"/>
          <w:vertAlign w:val="baseline"/>
          <w:lang w:val="ru-RU"/>
        </w:rPr>
        <w:t>Н</w:t>
      </w:r>
      <w:r>
        <w:rPr>
          <w:rFonts w:ascii="Times New Roman" w:hAnsi="Times New Roman"/>
          <w:i/>
          <w:iCs/>
          <w:position w:val="0"/>
          <w:sz w:val="24"/>
          <w:sz w:val="24"/>
          <w:szCs w:val="24"/>
          <w:vertAlign w:val="baseline"/>
          <w:lang w:val="ru-RU"/>
        </w:rPr>
        <w:t>ациональный исследовательский ядерный университет «МИФИ»,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i/>
          <w:iCs/>
          <w:position w:val="0"/>
          <w:sz w:val="24"/>
          <w:sz w:val="24"/>
          <w:szCs w:val="24"/>
          <w:vertAlign w:val="baseline"/>
          <w:lang w:val="ru-RU"/>
        </w:rPr>
        <w:t>Институт ядерной физики и технологий, Москва, Россия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i/>
          <w:iCs/>
          <w:sz w:val="24"/>
          <w:szCs w:val="24"/>
          <w:vertAlign w:val="superscript"/>
          <w:lang w:val="ru-RU"/>
        </w:rPr>
        <w:t>2</w:t>
      </w:r>
      <w:r>
        <w:rPr>
          <w:rFonts w:ascii="Times New Roman" w:hAnsi="Times New Roman"/>
          <w:i/>
          <w:iCs/>
          <w:position w:val="0"/>
          <w:sz w:val="24"/>
          <w:sz w:val="24"/>
          <w:szCs w:val="24"/>
          <w:vertAlign w:val="baseline"/>
          <w:lang w:val="ru-RU"/>
        </w:rPr>
        <w:t>Объединённый институт ядерных исследований (ОИЯИ),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i/>
          <w:iCs/>
          <w:position w:val="0"/>
          <w:sz w:val="24"/>
          <w:sz w:val="24"/>
          <w:szCs w:val="24"/>
          <w:vertAlign w:val="baseline"/>
          <w:lang w:val="ru-RU"/>
        </w:rPr>
        <w:t>Лаборатория ядерных проблем им. В.П. Джелепова, Дубна, Россия</w:t>
      </w:r>
    </w:p>
    <w:p>
      <w:pPr>
        <w:pStyle w:val="Normal"/>
        <w:bidi w:val="0"/>
        <w:jc w:val="center"/>
        <w:rPr/>
      </w:pPr>
      <w:r>
        <w:rPr>
          <w:rFonts w:ascii="Times New Roman" w:hAnsi="Times New Roman"/>
          <w:i/>
          <w:iCs/>
          <w:position w:val="0"/>
          <w:sz w:val="24"/>
          <w:sz w:val="24"/>
          <w:szCs w:val="24"/>
          <w:vertAlign w:val="baseline"/>
          <w:lang w:val="ru-RU"/>
        </w:rPr>
        <w:t xml:space="preserve">E-mail: </w:t>
      </w:r>
      <w:r>
        <w:rPr>
          <w:rStyle w:val="Hyperlink"/>
          <w:rFonts w:ascii="Times New Roman" w:hAnsi="Times New Roman"/>
          <w:i/>
          <w:iCs/>
          <w:position w:val="0"/>
          <w:sz w:val="24"/>
          <w:sz w:val="24"/>
          <w:szCs w:val="24"/>
          <w:vertAlign w:val="baseline"/>
          <w:lang w:val="ru-RU"/>
        </w:rPr>
        <w:t>dadashova@jinr.ru</w:t>
      </w:r>
    </w:p>
    <w:p>
      <w:pPr>
        <w:pStyle w:val="Normal"/>
        <w:bidi w:val="0"/>
        <w:jc w:val="center"/>
        <w:rPr>
          <w:rFonts w:ascii="Times New Roman" w:hAnsi="Times New Roman"/>
          <w:i/>
          <w:i/>
          <w:iCs/>
          <w:position w:val="0"/>
          <w:sz w:val="24"/>
          <w:sz w:val="24"/>
          <w:szCs w:val="24"/>
          <w:vertAlign w:val="baseline"/>
          <w:lang w:val="ru-RU"/>
        </w:rPr>
      </w:pPr>
      <w:r>
        <w:rPr>
          <w:rFonts w:ascii="Times New Roman" w:hAnsi="Times New Roman"/>
          <w:i/>
          <w:iCs/>
          <w:position w:val="0"/>
          <w:sz w:val="24"/>
          <w:sz w:val="24"/>
          <w:szCs w:val="24"/>
          <w:vertAlign w:val="baseline"/>
          <w:lang w:val="ru-RU"/>
        </w:rPr>
      </w:r>
    </w:p>
    <w:p>
      <w:pPr>
        <w:pStyle w:val="Normal"/>
        <w:bidi w:val="0"/>
        <w:ind w:firstLine="397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Современные эксперименты в физике элементарных частиц ориентированы на высокоточные измерения параметров Стандартной модели (СМ) и поиск явлений за её пределами. Особый интерес представляет изучение взаимодействия между двумя наиболее массивными частицами СМ - бозоном Хиггса и t-кварком, описываемого константой взаимодействия Юкавы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y</m:t>
            </m:r>
          </m:e>
          <m:sub>
            <m:r>
              <w:rPr>
                <w:rFonts w:ascii="Cambria Math" w:hAnsi="Cambria Math"/>
              </w:rPr>
              <m:t xml:space="preserve">t</m:t>
            </m:r>
          </m:sub>
        </m:sSub>
      </m:oMath>
      <w:r>
        <w:rPr>
          <w:rFonts w:ascii="Times New Roman" w:hAnsi="Times New Roman"/>
          <w:sz w:val="24"/>
          <w:szCs w:val="24"/>
          <w:lang w:val="ru-RU"/>
        </w:rPr>
        <w:t xml:space="preserve">. В то время как абсолютная величина константы </w:t>
      </w:r>
      <w:r>
        <w:rPr/>
      </w:r>
      <m:oMath xmlns:m="http://schemas.openxmlformats.org/officeDocument/2006/math">
        <m:sSub>
          <m:e>
            <m:r>
              <w:rPr>
                <w:rFonts w:ascii="Cambria Math" w:hAnsi="Cambria Math"/>
              </w:rPr>
              <m:t xml:space="preserve">y</m:t>
            </m:r>
          </m:e>
          <m:sub>
            <m:r>
              <w:rPr>
                <w:rFonts w:ascii="Cambria Math" w:hAnsi="Cambria Math"/>
              </w:rPr>
              <m:t xml:space="preserve">t</m:t>
            </m:r>
          </m:sub>
        </m:sSub>
      </m:oMath>
      <w:r>
        <w:rPr>
          <w:rFonts w:ascii="Times New Roman" w:hAnsi="Times New Roman"/>
          <w:sz w:val="24"/>
          <w:szCs w:val="24"/>
          <w:lang w:val="ru-RU"/>
        </w:rPr>
        <w:t xml:space="preserve">была измерена в процессе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pp</m:t>
        </m:r>
        <m:r>
          <w:rPr>
            <w:rFonts w:ascii="Cambria Math" w:hAnsi="Cambria Math"/>
          </w:rPr>
          <m:t xml:space="preserve">→</m:t>
        </m:r>
        <m:r>
          <w:rPr>
            <w:rFonts w:ascii="Cambria Math" w:hAnsi="Cambria Math"/>
          </w:rPr>
          <m:t xml:space="preserve">ttH</m:t>
        </m:r>
      </m:oMath>
      <w:r>
        <w:rPr>
          <w:rFonts w:ascii="Times New Roman" w:hAnsi="Times New Roman"/>
          <w:sz w:val="24"/>
          <w:szCs w:val="24"/>
          <w:lang w:val="ru-RU"/>
        </w:rPr>
        <w:t xml:space="preserve"> [1,2], её комплексная фаза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α</m:t>
        </m:r>
      </m:oMath>
      <w:r>
        <w:rPr>
          <w:rFonts w:ascii="Times New Roman" w:hAnsi="Times New Roman"/>
          <w:sz w:val="24"/>
          <w:szCs w:val="24"/>
          <w:lang w:val="ru-RU"/>
        </w:rPr>
        <w:t xml:space="preserve"> в СМ остаётся неопределённой. Непосредственным методом исследования комплексной </w:t>
      </w: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 xml:space="preserve">фазы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α</m:t>
        </m:r>
      </m:oMath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 xml:space="preserve"> является процесс </w:t>
      </w:r>
      <w:r>
        <w:rPr>
          <w:rFonts w:cs="Times New Roman" w:ascii="Times New Roman" w:hAnsi="Times New Roman"/>
          <w:b w:val="false"/>
          <w:bCs w:val="false"/>
          <w:i w:val="false"/>
          <w:iCs w:val="false"/>
          <w:strike w:val="false"/>
          <w:dstrike w:val="false"/>
          <w:outline w:val="false"/>
          <w:shadow w:val="false"/>
          <w:color w:val="000000"/>
          <w:sz w:val="24"/>
          <w:szCs w:val="24"/>
          <w:u w:val="none"/>
          <w:shd w:fill="auto" w:val="clear"/>
          <w:lang w:val="ru-RU" w:eastAsia="en-US" w:bidi="ar-SA"/>
        </w:rPr>
        <w:t>ассоциативного</w:t>
      </w:r>
      <w:r>
        <w:rPr>
          <w:rFonts w:ascii="Times New Roman" w:hAnsi="Times New Roman"/>
          <w:sz w:val="24"/>
          <w:szCs w:val="24"/>
          <w:lang w:val="ru-RU"/>
        </w:rPr>
        <w:t xml:space="preserve"> рождения топ-кварка и бозона Хиггса (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pp</m:t>
        </m:r>
        <m:r>
          <w:rPr>
            <w:rFonts w:ascii="Cambria Math" w:hAnsi="Cambria Math"/>
          </w:rPr>
          <m:t xml:space="preserve">→</m:t>
        </m:r>
        <m:r>
          <w:rPr>
            <w:rFonts w:ascii="Cambria Math" w:hAnsi="Cambria Math"/>
          </w:rPr>
          <m:t xml:space="preserve">tH</m:t>
        </m:r>
      </m:oMath>
      <w:r>
        <w:rPr>
          <w:rFonts w:ascii="Times New Roman" w:hAnsi="Times New Roman"/>
          <w:sz w:val="24"/>
          <w:szCs w:val="24"/>
          <w:lang w:val="ru-RU"/>
        </w:rPr>
        <w:t xml:space="preserve">), который до сих пор не наблюдался на Большом адронном коллайдере (БАК). В модели с инвертированным взаимодействием топ-кварка (ИВТ) комплексная фаза константы Юкавы сдвинута на </w:t>
      </w:r>
      <w:r>
        <w:rPr/>
      </w:r>
      <m:oMath xmlns:m="http://schemas.openxmlformats.org/officeDocument/2006/math">
        <m:sSup>
          <m:e>
            <m:r>
              <w:rPr>
                <w:rFonts w:ascii="Cambria Math" w:hAnsi="Cambria Math"/>
              </w:rPr>
              <m:t xml:space="preserve">180</m:t>
            </m:r>
          </m:e>
          <m:sup>
            <m:r>
              <w:rPr>
                <w:rFonts w:ascii="Cambria Math" w:hAnsi="Cambria Math"/>
              </w:rPr>
              <m:t xml:space="preserve">∘</m:t>
            </m:r>
          </m:sup>
        </m:sSup>
      </m:oMath>
      <w:r>
        <w:rPr>
          <w:rFonts w:ascii="Times New Roman" w:hAnsi="Times New Roman"/>
          <w:sz w:val="24"/>
          <w:szCs w:val="24"/>
          <w:lang w:val="ru-RU"/>
        </w:rPr>
        <w:t xml:space="preserve"> относительно предсказания СМ, что приводит к значительному увеличению ожидаемого сечения процесса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tH</m:t>
        </m:r>
      </m:oMath>
      <w:r>
        <w:rPr>
          <w:rFonts w:ascii="Times New Roman" w:hAnsi="Times New Roman"/>
          <w:sz w:val="24"/>
          <w:szCs w:val="24"/>
          <w:lang w:val="ru-RU"/>
        </w:rPr>
        <w:t xml:space="preserve"> [3].</w:t>
      </w:r>
    </w:p>
    <w:p>
      <w:pPr>
        <w:pStyle w:val="Normal"/>
        <w:bidi w:val="0"/>
        <w:ind w:firstLine="397"/>
        <w:jc w:val="both"/>
        <w:rPr/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В представленной работе с помощью методов Монте-Карло проведено моделирование для разработки и оптимизации алгоритма машинного обучения, предназначенного для отделения сигнального процесса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pp</m:t>
        </m:r>
        <m:r>
          <w:rPr>
            <w:rFonts w:ascii="Cambria Math" w:hAnsi="Cambria Math"/>
          </w:rPr>
          <m:t xml:space="preserve">→</m:t>
        </m:r>
        <m:r>
          <w:rPr>
            <w:rFonts w:ascii="Cambria Math" w:hAnsi="Cambria Math"/>
          </w:rPr>
          <m:t xml:space="preserve">tH</m:t>
        </m:r>
      </m:oMath>
      <w:r>
        <w:rPr>
          <w:rFonts w:ascii="Times New Roman" w:hAnsi="Times New Roman"/>
          <w:sz w:val="24"/>
          <w:szCs w:val="24"/>
          <w:lang w:val="ru-RU"/>
        </w:rPr>
        <w:t xml:space="preserve"> от основных фоновых процессов в рамках моделей СМ и ИВТ. К основным фоновым процессам относятся процессы -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tt</m:t>
        </m:r>
      </m:oMath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ttH</m:t>
        </m:r>
      </m:oMath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ttZ</m:t>
        </m:r>
      </m:oMath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tZbq</m:t>
        </m:r>
      </m:oMath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ttbb</m:t>
        </m:r>
      </m:oMath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ttW</m:t>
        </m:r>
      </m:oMath>
      <w:r>
        <w:rPr>
          <w:rFonts w:ascii="Times New Roman" w:hAnsi="Times New Roman"/>
          <w:sz w:val="24"/>
          <w:szCs w:val="24"/>
          <w:lang w:val="ru-RU"/>
        </w:rPr>
        <w:t>. Сигнальный процесс (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tHbq</m:t>
        </m:r>
      </m:oMath>
      <w:r>
        <w:rPr>
          <w:rFonts w:ascii="Times New Roman" w:hAnsi="Times New Roman"/>
          <w:sz w:val="24"/>
          <w:szCs w:val="24"/>
          <w:lang w:val="ru-RU"/>
        </w:rPr>
        <w:t>) и фоновые процессы с наибольшим сечением (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tt</m:t>
        </m:r>
      </m:oMath>
      <w:r>
        <w:rPr>
          <w:rFonts w:ascii="Times New Roman" w:hAnsi="Times New Roman"/>
          <w:sz w:val="24"/>
          <w:szCs w:val="24"/>
          <w:lang w:val="ru-RU"/>
        </w:rPr>
        <w:t xml:space="preserve">,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ttH</m:t>
        </m:r>
      </m:oMath>
      <w:r>
        <w:rPr>
          <w:rFonts w:ascii="Times New Roman" w:hAnsi="Times New Roman"/>
          <w:sz w:val="24"/>
          <w:szCs w:val="24"/>
          <w:lang w:val="ru-RU"/>
        </w:rPr>
        <w:t>) были получены в рамках моделирования в приближении следующего после ведущего порядка теории возмущений. Остальные фоновые процессы моделировались в ведущем порядке теории возмущений. Для генерации событий сигнального процесса (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tHbq</m:t>
        </m:r>
      </m:oMath>
      <w:r>
        <w:rPr>
          <w:rFonts w:ascii="Times New Roman" w:hAnsi="Times New Roman"/>
          <w:sz w:val="24"/>
          <w:szCs w:val="24"/>
          <w:lang w:val="ru-RU"/>
        </w:rPr>
        <w:t>) в рамках модели ИВТ использовалась модель HC_NLO_UFO [4, 5].</w:t>
      </w:r>
    </w:p>
    <w:p>
      <w:pPr>
        <w:pStyle w:val="Normal"/>
        <w:bidi w:val="0"/>
        <w:ind w:hanging="0"/>
        <w:jc w:val="both"/>
        <w:rPr/>
      </w:pPr>
      <w:r>
        <w:rPr>
          <w:rFonts w:ascii="Times New Roman" w:hAnsi="Times New Roman"/>
          <w:sz w:val="24"/>
          <w:szCs w:val="24"/>
          <w:lang w:val="ru-RU"/>
        </w:rPr>
        <w:tab/>
        <w:t xml:space="preserve">В проведённом исследование получена оценка ожидаемой чувствительности экспериментов на БАК к наблюдению процесса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tH</m:t>
        </m:r>
      </m:oMath>
      <w:r>
        <w:rPr>
          <w:rFonts w:ascii="Times New Roman" w:hAnsi="Times New Roman"/>
          <w:sz w:val="24"/>
          <w:szCs w:val="24"/>
          <w:lang w:val="ru-RU"/>
        </w:rPr>
        <w:t xml:space="preserve"> в сеансах Run 3 и предстоящей в сеансах работы ускорителя в режиме высокой светимости (HL-LHC).</w:t>
      </w:r>
    </w:p>
    <w:p>
      <w:pPr>
        <w:pStyle w:val="Normal"/>
        <w:bidi w:val="0"/>
        <w:ind w:hanging="0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</w:r>
    </w:p>
    <w:p>
      <w:pPr>
        <w:pStyle w:val="Normal"/>
        <w:bidi w:val="0"/>
        <w:ind w:firstLine="397"/>
        <w:jc w:val="center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Литература</w:t>
      </w:r>
    </w:p>
    <w:p>
      <w:pPr>
        <w:pStyle w:val="Normal"/>
        <w:bidi w:val="0"/>
        <w:ind w:hanging="0"/>
        <w:jc w:val="left"/>
        <w:rPr>
          <w:b w:val="false"/>
        </w:rPr>
      </w:pPr>
      <w:r>
        <w:rPr>
          <w:rFonts w:ascii="Times New Roman" w:hAnsi="Times New Roman"/>
          <w:b w:val="false"/>
          <w:bCs w:val="false"/>
          <w:sz w:val="24"/>
          <w:szCs w:val="24"/>
          <w:lang w:val="ru-RU"/>
        </w:rPr>
        <w:t xml:space="preserve">1. </w:t>
      </w:r>
      <w:r>
        <w:rPr>
          <w:rFonts w:ascii="Times New Roman" w:hAnsi="Times New Roman"/>
          <w:b w:val="false"/>
          <w:bCs w:val="false"/>
          <w:sz w:val="24"/>
          <w:szCs w:val="24"/>
          <w:lang w:val="en-US"/>
        </w:rPr>
        <w:t xml:space="preserve">ATLAS Collaboration et al.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Observation of Higgs boson production in association with a top quark pair at the LHC with the ATLAS detector // Physics Letters B. 2018 September. V. 784. P. 173–191.</w:t>
      </w:r>
    </w:p>
    <w:p>
      <w:pPr>
        <w:pStyle w:val="Normal"/>
        <w:bidi w:val="0"/>
        <w:ind w:hanging="0"/>
        <w:jc w:val="left"/>
        <w:rPr>
          <w:b w:val="false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2. CMS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Collaboration et al. Observation of </w:t>
      </w:r>
      <w:r>
        <w:rPr/>
      </w:r>
      <m:oMath xmlns:m="http://schemas.openxmlformats.org/officeDocument/2006/math">
        <m:r>
          <w:rPr>
            <w:rFonts w:ascii="Cambria Math" w:hAnsi="Cambria Math"/>
          </w:rPr>
          <m:t xml:space="preserve">pp</m:t>
        </m:r>
        <m:r>
          <w:rPr>
            <w:rFonts w:ascii="Cambria Math" w:hAnsi="Cambria Math"/>
          </w:rPr>
          <m:t xml:space="preserve">→</m:t>
        </m:r>
        <m:r>
          <w:rPr>
            <w:rFonts w:ascii="Cambria Math" w:hAnsi="Cambria Math"/>
          </w:rPr>
          <m:t xml:space="preserve">t</m:t>
        </m:r>
        <m:acc>
          <m:accPr>
            <m:chr m:val="¯"/>
          </m:accPr>
          <m:e>
            <m:r>
              <w:rPr>
                <w:rFonts w:ascii="Cambria Math" w:hAnsi="Cambria Math"/>
              </w:rPr>
              <m:t xml:space="preserve">t</m:t>
            </m:r>
          </m:e>
        </m:acc>
        <m:r>
          <w:rPr>
            <w:rFonts w:ascii="Cambria Math" w:hAnsi="Cambria Math"/>
          </w:rPr>
          <m:t xml:space="preserve">H</m:t>
        </m:r>
      </m:oMath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production // Physical Review Letters. 2018 June. V. 120. №23.</w:t>
      </w:r>
    </w:p>
    <w:p>
      <w:pPr>
        <w:pStyle w:val="Normal"/>
        <w:bidi w:val="0"/>
        <w:ind w:hanging="0"/>
        <w:jc w:val="left"/>
        <w:rPr>
          <w:b w:val="false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3. D. de Florian, Maltoni F., Grojean C. Handbook of LHC Higgs Cross Sections: 4. Deciphering the Nature of the Higgs Sector // CERN Yellow Reports: Monographs. 2017. V. 2.</w:t>
      </w:r>
    </w:p>
    <w:p>
      <w:pPr>
        <w:pStyle w:val="Normal"/>
        <w:bidi w:val="0"/>
        <w:ind w:hanging="0"/>
        <w:jc w:val="left"/>
        <w:rPr/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4. Demartin F., Maltoni F., Mawatari K., Page B., M. Zaro </w:t>
      </w:r>
      <w:r>
        <w:rPr>
          <w:rFonts w:ascii="Times New Roman" w:hAnsi="Times New Roman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>Higgs characterisation at NLO in QCD: CP properties of the top-quark Yukawa interaction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// The European Physical Journal C. 2014 September. V. 74. №9. </w:t>
      </w:r>
    </w:p>
    <w:p>
      <w:pPr>
        <w:pStyle w:val="Normal"/>
        <w:bidi w:val="0"/>
        <w:ind w:hanging="0"/>
        <w:jc w:val="left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5. </w:t>
      </w:r>
      <w:hyperlink r:id="rId2">
        <w:r>
          <w:rPr>
            <w:rStyle w:val="Hyperlink"/>
            <w:rFonts w:ascii="Times New Roman" w:hAnsi="Times New Roman"/>
            <w:b w:val="false"/>
            <w:bCs w:val="false"/>
            <w:i w:val="false"/>
            <w:caps w:val="false"/>
            <w:smallCaps w:val="false"/>
            <w:color w:val="000000"/>
            <w:spacing w:val="0"/>
            <w:sz w:val="24"/>
            <w:szCs w:val="24"/>
            <w:lang w:val="en-US"/>
          </w:rPr>
          <w:t>https://feynrules.irmp.ucl.ac.be/wiki/HiggsCharacterisation</w:t>
        </w:r>
      </w:hyperlink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  <w:lang w:val="en-US"/>
        </w:rPr>
        <w:t xml:space="preserve"> </w:t>
      </w:r>
    </w:p>
    <w:sectPr>
      <w:type w:val="nextPage"/>
      <w:pgSz w:w="12240" w:h="15840"/>
      <w:pgMar w:left="1361" w:right="1361" w:gutter="0" w:header="0" w:top="1134" w:footer="0" w:bottom="1259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5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Style13"/>
    <w:next w:val="BodyText"/>
    <w:qFormat/>
    <w:pPr>
      <w:spacing w:before="240" w:after="120"/>
      <w:outlineLvl w:val="0"/>
    </w:pPr>
    <w:rPr>
      <w:rFonts w:ascii="Liberation Serif" w:hAnsi="Liberation Serif" w:eastAsia="Noto Serif CJK SC" w:cs="Noto Sans Devanagari"/>
      <w:b/>
      <w:bCs/>
      <w:sz w:val="48"/>
      <w:szCs w:val="48"/>
    </w:rPr>
  </w:style>
  <w:style w:type="character" w:styleId="Hyperlink">
    <w:name w:val="Hyperlink"/>
    <w:rPr>
      <w:color w:val="000080"/>
      <w:u w:val="single"/>
    </w:rPr>
  </w:style>
  <w:style w:type="paragraph" w:styleId="Style13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4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feynrules.irmp.ucl.ac.be/wiki/HiggsCharacterisation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939</TotalTime>
  <Application>LibreOffice/24.2.7.2$Linux_X86_64 LibreOffice_project/420$Build-2</Application>
  <AppVersion>15.0000</AppVersion>
  <Pages>2</Pages>
  <Words>420</Words>
  <Characters>2667</Characters>
  <CharactersWithSpaces>3082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2026-02-04T11:59:37Z</dcterms:created>
  <dc:creator/>
  <dc:description/>
  <dc:language>en-US</dc:language>
  <cp:lastModifiedBy/>
  <dcterms:modified xsi:type="dcterms:W3CDTF">2026-02-28T14:21:47Z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