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МОДЕЛИРОВАНИЕ ДИНАМИКИ ПУЧКА ЭЛЕКТРОНОВ В МАГНИТНОЙ СИСТЕМЕ УСКОРИТЕЛЬНОГО КОМПЛЕКСА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АО «ГНЦ РФ – ФЭИ»</w:t>
      </w:r>
    </w:p>
    <w:p>
      <w:pPr>
        <w:pStyle w:val="Normal"/>
        <w:widowControl w:val="false"/>
        <w:spacing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</w:rPr>
        <w:t>В. Д. Валетин</w:t>
      </w:r>
      <w:r>
        <w:rPr>
          <w:rFonts w:cs="Times New Roman" w:ascii="Times New Roman" w:hAnsi="Times New Roman"/>
          <w:vertAlign w:val="superscript"/>
        </w:rPr>
        <w:t>1</w:t>
      </w:r>
      <w:r>
        <w:rPr>
          <w:rFonts w:cs="Times New Roman" w:ascii="Times New Roman" w:hAnsi="Times New Roman"/>
        </w:rPr>
        <w:t>, В. И. Шведунов</w:t>
      </w:r>
      <w:r>
        <w:rPr>
          <w:rFonts w:cs="Times New Roman" w:ascii="Times New Roman" w:hAnsi="Times New Roman"/>
          <w:vertAlign w:val="superscript"/>
        </w:rPr>
        <w:t>1,2</w:t>
      </w:r>
      <w:r>
        <w:rPr>
          <w:rFonts w:cs="Times New Roman" w:ascii="Times New Roman" w:hAnsi="Times New Roman"/>
        </w:rPr>
        <w:t>, А. Н. Ермаков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  <w:position w:val="0"/>
          <w:sz w:val="24"/>
          <w:sz w:val="24"/>
          <w:vertAlign w:val="baseline"/>
        </w:rPr>
        <w:t>, Д. А. Бобылев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  <w:position w:val="0"/>
          <w:sz w:val="24"/>
          <w:sz w:val="24"/>
          <w:vertAlign w:val="baseline"/>
        </w:rPr>
        <w:t xml:space="preserve">, </w:t>
      </w:r>
      <w:r>
        <w:rPr>
          <w:rFonts w:cs="Times New Roman" w:ascii="Times New Roman" w:hAnsi="Times New Roman"/>
          <w:position w:val="0"/>
          <w:sz w:val="24"/>
          <w:sz w:val="24"/>
          <w:vertAlign w:val="baseline"/>
        </w:rPr>
        <w:t>М. А. Борисов</w:t>
      </w:r>
      <w:r>
        <w:rPr>
          <w:rFonts w:cs="Times New Roman" w:ascii="Times New Roman" w:hAnsi="Times New Roman"/>
          <w:sz w:val="24"/>
          <w:vertAlign w:val="superscript"/>
        </w:rPr>
        <w:t>2</w:t>
      </w:r>
      <w:r>
        <w:rPr>
          <w:rFonts w:cs="Times New Roman" w:ascii="Times New Roman" w:hAnsi="Times New Roman"/>
          <w:position w:val="0"/>
          <w:sz w:val="24"/>
          <w:sz w:val="24"/>
          <w:vertAlign w:val="baseline"/>
        </w:rPr>
        <w:t xml:space="preserve">, </w:t>
      </w:r>
    </w:p>
    <w:p>
      <w:pPr>
        <w:pStyle w:val="Normal"/>
        <w:widowControl w:val="false"/>
        <w:spacing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position w:val="0"/>
          <w:sz w:val="24"/>
          <w:sz w:val="24"/>
          <w:vertAlign w:val="baseline"/>
        </w:rPr>
        <w:t xml:space="preserve">О. П. </w:t>
      </w:r>
      <w:r>
        <w:rPr>
          <w:rFonts w:cs="Times New Roman" w:ascii="Times New Roman" w:hAnsi="Times New Roman"/>
          <w:position w:val="0"/>
          <w:sz w:val="24"/>
          <w:sz w:val="24"/>
          <w:vertAlign w:val="baseline"/>
          <w:lang w:val="ru-RU"/>
        </w:rPr>
        <w:t>Сказатов</w:t>
      </w:r>
      <w:r>
        <w:rPr>
          <w:rFonts w:cs="Times New Roman" w:ascii="Times New Roman" w:hAnsi="Times New Roman"/>
          <w:vertAlign w:val="superscript"/>
          <w:lang w:val="ru-RU"/>
        </w:rPr>
        <w:t>1</w:t>
      </w:r>
      <w:r>
        <w:rPr>
          <w:rFonts w:cs="Times New Roman" w:ascii="Times New Roman" w:hAnsi="Times New Roman"/>
          <w:position w:val="0"/>
          <w:sz w:val="24"/>
          <w:sz w:val="24"/>
          <w:vertAlign w:val="baseline"/>
          <w:lang w:val="ru-RU"/>
        </w:rPr>
        <w:t xml:space="preserve"> </w:t>
      </w:r>
    </w:p>
    <w:p>
      <w:pPr>
        <w:pStyle w:val="Normal"/>
        <w:widowControl w:val="false"/>
        <w:spacing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i/>
          <w:iCs/>
          <w:sz w:val="22"/>
          <w:szCs w:val="22"/>
          <w:vertAlign w:val="superscript"/>
        </w:rPr>
        <w:t>,1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Ломоносова, </w:t>
        <w:br/>
        <w:t>физический факультет, Москва, Россия,</w:t>
        <w:br/>
        <w:t xml:space="preserve"> </w:t>
      </w:r>
      <w:r>
        <w:rPr>
          <w:rFonts w:cs="Times New Roman" w:ascii="Times New Roman" w:hAnsi="Times New Roman"/>
          <w:i/>
          <w:iCs/>
          <w:sz w:val="22"/>
          <w:szCs w:val="22"/>
          <w:vertAlign w:val="superscript"/>
        </w:rPr>
        <w:t>2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  </w:t>
        <w:br/>
        <w:t xml:space="preserve">Научно-исследовательский институт ядерной физики имени Д. В. Скобельцына, </w:t>
        <w:br/>
        <w:t>Москва, Россия</w:t>
      </w:r>
    </w:p>
    <w:p>
      <w:pPr>
        <w:pStyle w:val="Normal"/>
        <w:widowControl w:val="false"/>
        <w:spacing w:before="0" w:after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en-US"/>
        </w:rPr>
        <w:t>E</w:t>
      </w:r>
      <w:r>
        <w:rPr>
          <w:rFonts w:cs="Times New Roman" w:ascii="Times New Roman" w:hAnsi="Times New Roman"/>
          <w:sz w:val="22"/>
          <w:szCs w:val="22"/>
        </w:rPr>
        <w:t>–</w:t>
      </w:r>
      <w:r>
        <w:rPr>
          <w:rFonts w:cs="Times New Roman" w:ascii="Times New Roman" w:hAnsi="Times New Roman"/>
          <w:sz w:val="22"/>
          <w:szCs w:val="22"/>
          <w:lang w:val="en-US"/>
        </w:rPr>
        <w:t>mail</w:t>
      </w:r>
      <w:r>
        <w:rPr>
          <w:rFonts w:cs="Times New Roman" w:ascii="Times New Roman" w:hAnsi="Times New Roman"/>
          <w:sz w:val="22"/>
          <w:szCs w:val="22"/>
        </w:rPr>
        <w:t xml:space="preserve">: </w:t>
      </w:r>
      <w:r>
        <w:rPr>
          <w:rFonts w:cs="Times New Roman" w:ascii="Times New Roman" w:hAnsi="Times New Roman"/>
          <w:sz w:val="22"/>
          <w:szCs w:val="22"/>
          <w:lang w:val="en-US"/>
        </w:rPr>
        <w:t>kot.v.valetin@gmail.com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 w:cs="Times New Roman"/>
          <w:color w:val="222222"/>
        </w:rPr>
      </w:pPr>
      <w:r>
        <w:rPr>
          <w:rFonts w:cs="Times New Roman" w:ascii="Times New Roman" w:hAnsi="Times New Roman"/>
          <w:color w:val="222222"/>
        </w:rPr>
      </w:r>
    </w:p>
    <w:p>
      <w:pPr>
        <w:pStyle w:val="Normal"/>
        <w:widowControl w:val="false"/>
        <w:ind w:hanging="0"/>
        <w:jc w:val="both"/>
        <w:rPr>
          <w:lang w:val="ru-RU"/>
        </w:rPr>
      </w:pPr>
      <w:r>
        <w:rPr>
          <w:rFonts w:cs="Times New Roman" w:ascii="Times New Roman" w:hAnsi="Times New Roman"/>
          <w:color w:val="222222"/>
          <w:spacing w:val="-8"/>
          <w:lang w:val="ru-RU"/>
        </w:rPr>
        <w:tab/>
        <w:t>Магнитные системы транспортировки пучка в ускорителях предназначены для обеспечения  вывода пучка на мишень, расположенную вне оси ускоряющей структуры. В данной работе представлены результаты расчетов параметров системы параллельного переноса пучка для линейного ускорителя электронов комплекса АО «ГНЦ РФ — ФЭИ» с энергией пучка 35 МэВ. Данная система предназначена для транспортировки пучка после выхода из ускоряющей структуры до мишени с параллельным сдвигом относительно оси ускоряющей структуры. Она состоит из двух одинаковых ветвей, каждая из которых включает в себя два поворотных дипольных магнита и шесть фокусирующих квадрупольных линз. Схема линейного ускорителя и магнитной системы представлена на рис. 1.</w:t>
      </w:r>
    </w:p>
    <w:p>
      <w:pPr>
        <w:pStyle w:val="Normal"/>
        <w:widowControl w:val="false"/>
        <w:ind w:hanging="0"/>
        <w:jc w:val="center"/>
        <w:rPr>
          <w:lang w:val="ru-RU"/>
        </w:rPr>
      </w:pPr>
      <w:r>
        <mc:AlternateContent>
          <mc:Choice Requires="wps">
            <w:drawing>
              <wp:anchor behindDoc="0" distT="0" distB="635" distL="2308860" distR="2311400" simplePos="0" locked="0" layoutInCell="0" allowOverlap="1" relativeHeight="2" wp14:anchorId="7939C3C7">
                <wp:simplePos x="0" y="0"/>
                <wp:positionH relativeFrom="column">
                  <wp:posOffset>-78105</wp:posOffset>
                </wp:positionH>
                <wp:positionV relativeFrom="paragraph">
                  <wp:posOffset>92075</wp:posOffset>
                </wp:positionV>
                <wp:extent cx="6165850" cy="2854960"/>
                <wp:effectExtent l="2540" t="6985" r="3175" b="6350"/>
                <wp:wrapTopAndBottom/>
                <wp:docPr id="1" name="Рисунок 2" descr="Размещение-горизонталь_121223.p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Размещение-горизонталь_121223.pn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21592800">
                          <a:off x="0" y="0"/>
                          <a:ext cx="6165720" cy="2854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2" stroked="f" o:allowincell="f" style="position:absolute;margin-left:-6.25pt;margin-top:7.25pt;width:485.45pt;height:224.75pt;mso-wrap-style:none;v-text-anchor:middle;rotation:360" wp14:anchorId="7939C3C7" type="_x0000_t75">
                <v:imagedata r:id="rId3" o:detectmouseclick="t"/>
                <v:stroke color="#3465a4" joinstyle="round" endcap="flat"/>
                <w10:wrap type="topAndBottom"/>
              </v:shape>
            </w:pict>
          </mc:Fallback>
        </mc:AlternateContent>
      </w:r>
      <w:r>
        <w:rPr>
          <w:rFonts w:cs="Times New Roman" w:ascii="Times New Roman" w:hAnsi="Times New Roman"/>
          <w:color w:themeColor="text1" w:val="000000"/>
          <w:spacing w:val="-8"/>
          <w:sz w:val="22"/>
          <w:szCs w:val="22"/>
          <w:lang w:val="ru-RU"/>
        </w:rPr>
        <w:t>Рис. 1. Общий вид сильноточного линейного резонансного ускорителя электронов для ускорительного комплекса АО «ГНЦ РФ — ФЭИ»</w:t>
      </w:r>
    </w:p>
    <w:p>
      <w:pPr>
        <w:pStyle w:val="Normal"/>
        <w:widowControl w:val="false"/>
        <w:ind w:hanging="0"/>
        <w:jc w:val="center"/>
        <w:rPr>
          <w:rFonts w:ascii="Times New Roman" w:hAnsi="Times New Roman" w:cs="Times New Roman"/>
          <w:color w:themeColor="text1" w:val="000000"/>
          <w:spacing w:val="-8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pacing w:val="-8"/>
          <w:sz w:val="22"/>
          <w:szCs w:val="22"/>
        </w:rPr>
      </w:r>
    </w:p>
    <w:p>
      <w:pPr>
        <w:pStyle w:val="Normal"/>
        <w:widowControl w:val="false"/>
        <w:ind w:hanging="0"/>
        <w:jc w:val="both"/>
        <w:rPr/>
      </w:pPr>
      <w:r>
        <w:rPr>
          <w:rFonts w:cs="Times New Roman" w:ascii="Times New Roman" w:hAnsi="Times New Roman"/>
          <w:color w:val="222222"/>
          <w:spacing w:val="-8"/>
          <w:lang w:val="ru-RU"/>
        </w:rPr>
        <w:tab/>
        <w:t xml:space="preserve">В работе представлены расчеты сил токов в квадрупольных линзах, позволяющие достичь бездисперсионности на выходе магнитной системы и регулировать радиус пучка на мишени в диапазоне 3-10 мм. Также представлена оценка влияния отклонений в положениях элементов системы и отличия параметров пучка (эмиттанс, бета-функции, энергетический разброс) на выходе из ускоряющей структуры от расчётных на прохождение пучка через систему. Расчеты проводились с использованием программного обеспечения </w:t>
      </w:r>
      <w:r>
        <w:rPr>
          <w:rFonts w:cs="Times New Roman" w:ascii="Times New Roman" w:hAnsi="Times New Roman"/>
          <w:color w:val="222222"/>
          <w:spacing w:val="-8"/>
          <w:lang w:val="en-US"/>
        </w:rPr>
        <w:t xml:space="preserve">MAD-X. </w:t>
      </w:r>
      <w:r>
        <w:rPr>
          <w:rFonts w:cs="Times New Roman" w:ascii="Times New Roman" w:hAnsi="Times New Roman"/>
          <w:color w:val="222222"/>
          <w:spacing w:val="-8"/>
          <w:lang w:val="ru-RU"/>
        </w:rPr>
        <w:t xml:space="preserve">Делаются выводы о допустимых допусках при монтаже элементов магнитной системы и требованиях к точности измерений магнитных полей в линзах, а также ограничивающих факторах, влияющих на эти величины. </w:t>
      </w:r>
    </w:p>
    <w:p>
      <w:pPr>
        <w:pStyle w:val="Normal"/>
        <w:widowControl w:val="false"/>
        <w:ind w:hanging="0"/>
        <w:jc w:val="both"/>
        <w:rPr/>
      </w:pPr>
      <w:r>
        <w:rPr>
          <w:rFonts w:cs="Times New Roman" w:ascii="Times New Roman" w:hAnsi="Times New Roman"/>
          <w:color w:val="222222"/>
          <w:spacing w:val="-8"/>
          <w:lang w:val="ru-RU"/>
        </w:rPr>
        <w:tab/>
        <w:t xml:space="preserve">Для работы была написана программа на языке </w:t>
      </w:r>
      <w:r>
        <w:rPr>
          <w:rFonts w:cs="Times New Roman" w:ascii="Times New Roman" w:hAnsi="Times New Roman"/>
          <w:color w:val="222222"/>
          <w:spacing w:val="-8"/>
          <w:lang w:val="en-US"/>
        </w:rPr>
        <w:t xml:space="preserve">Python, </w:t>
      </w:r>
      <w:r>
        <w:rPr>
          <w:rFonts w:cs="Times New Roman" w:ascii="Times New Roman" w:hAnsi="Times New Roman"/>
          <w:color w:val="222222"/>
          <w:spacing w:val="-8"/>
          <w:lang w:val="ru-RU"/>
        </w:rPr>
        <w:t>имитирующая пульт управления магнитной системой. В качестве входных данных задаются параметры пучка, сдвиги элементов от их расположения по чертежу и силы тока в квадрупольных линзах, в качестве выходных данных — зависимость дисперсии и бета-функций от продольной координаты, размеры пучка на выходе из ускорителя и коэффициенты прохождения пучка на всех элементах. Существует возможность автоматизированного расчета сил токов в линзах под параметры пучка на входе и выходе из системы. Программа позволяет смоделировать прохождение системы пучком частиц и вручную настроить систему при несоответствии характеристик пучка на выходе требуемым, отработать алгоритм действий для наладки системы без запуска ускорителя. Интерфейс программы представлен на рис. 2.</w:t>
      </w:r>
    </w:p>
    <w:p>
      <w:pPr>
        <w:pStyle w:val="Normal"/>
        <w:widowControl w:val="false"/>
        <w:ind w:hanging="0"/>
        <w:jc w:val="center"/>
        <w:rPr>
          <w:sz w:val="22"/>
          <w:szCs w:val="22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41910</wp:posOffset>
            </wp:positionH>
            <wp:positionV relativeFrom="paragraph">
              <wp:posOffset>635</wp:posOffset>
            </wp:positionV>
            <wp:extent cx="5786120" cy="3605530"/>
            <wp:effectExtent l="0" t="0" r="0" b="0"/>
            <wp:wrapSquare wrapText="largest"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17" t="0" r="63" b="7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color w:val="222222"/>
          <w:spacing w:val="-8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color w:val="222222"/>
          <w:spacing w:val="-8"/>
          <w:sz w:val="22"/>
          <w:szCs w:val="22"/>
          <w:lang w:val="ru-RU"/>
        </w:rPr>
        <w:t>Рис. 2. Окно интерфейса программы для расчетов параметров прохождения пучка.</w:t>
      </w:r>
    </w:p>
    <w:p>
      <w:pPr>
        <w:pStyle w:val="Normal"/>
        <w:widowControl w:val="false"/>
        <w:ind w:hanging="0"/>
        <w:jc w:val="both"/>
        <w:rPr>
          <w:rFonts w:ascii="Times New Roman" w:hAnsi="Times New Roman" w:cs="Times New Roman"/>
          <w:color w:val="222222"/>
          <w:spacing w:val="-8"/>
          <w:lang w:val="ru-RU"/>
        </w:rPr>
      </w:pPr>
      <w:r>
        <w:rPr>
          <w:rFonts w:cs="Times New Roman" w:ascii="Times New Roman" w:hAnsi="Times New Roman"/>
          <w:color w:val="222222"/>
          <w:spacing w:val="-8"/>
          <w:lang w:val="ru-RU"/>
        </w:rPr>
      </w:r>
    </w:p>
    <w:p>
      <w:pPr>
        <w:pStyle w:val="Normal"/>
        <w:widowControl w:val="false"/>
        <w:ind w:hanging="0"/>
        <w:jc w:val="both"/>
        <w:rPr>
          <w:rFonts w:ascii="Times New Roman" w:hAnsi="Times New Roman" w:cs="Times New Roman"/>
          <w:color w:val="222222"/>
          <w:spacing w:val="-8"/>
          <w:lang w:val="ru-RU"/>
        </w:rPr>
      </w:pPr>
      <w:r>
        <w:rPr>
          <w:rFonts w:cs="Times New Roman" w:ascii="Times New Roman" w:hAnsi="Times New Roman"/>
          <w:color w:val="222222"/>
          <w:spacing w:val="-8"/>
          <w:lang w:val="ru-RU"/>
        </w:rPr>
      </w:r>
    </w:p>
    <w:p>
      <w:pPr>
        <w:pStyle w:val="Normal"/>
        <w:numPr>
          <w:ilvl w:val="0"/>
          <w:numId w:val="1"/>
        </w:numPr>
        <w:spacing w:lineRule="auto" w:line="276"/>
        <w:ind w:hanging="360" w:left="720"/>
        <w:jc w:val="left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К. Штеффен.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ru-RU"/>
        </w:rPr>
        <w:t>Оптика пучков высокой энергии</w:t>
      </w:r>
      <w:r>
        <w:rPr>
          <w:rFonts w:cs="Times New Roman" w:ascii="Times New Roman" w:hAnsi="Times New Roman"/>
          <w:sz w:val="22"/>
          <w:szCs w:val="22"/>
        </w:rPr>
        <w:t xml:space="preserve">.// </w:t>
      </w:r>
      <w:r>
        <w:rPr>
          <w:rFonts w:cs="Times New Roman" w:ascii="Times New Roman" w:hAnsi="Times New Roman"/>
          <w:sz w:val="22"/>
          <w:szCs w:val="22"/>
          <w:lang w:val="ru-RU"/>
        </w:rPr>
        <w:t>М.: Мир</w:t>
      </w:r>
      <w:r>
        <w:rPr>
          <w:rFonts w:cs="Times New Roman" w:ascii="Times New Roman" w:hAnsi="Times New Roman"/>
          <w:sz w:val="22"/>
          <w:szCs w:val="22"/>
        </w:rPr>
        <w:t>, 19</w:t>
      </w:r>
      <w:r>
        <w:rPr>
          <w:rFonts w:cs="Times New Roman" w:ascii="Times New Roman" w:hAnsi="Times New Roman"/>
          <w:sz w:val="22"/>
          <w:szCs w:val="22"/>
          <w:lang w:val="ru-RU"/>
        </w:rPr>
        <w:t>69</w:t>
      </w:r>
      <w:r>
        <w:rPr>
          <w:rFonts w:cs="Times New Roman" w:ascii="Times New Roman" w:hAnsi="Times New Roman"/>
          <w:sz w:val="22"/>
          <w:szCs w:val="22"/>
        </w:rPr>
        <w:t xml:space="preserve">.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en-US"/>
        </w:rPr>
        <w:t>H. Wiedemann. Particle accelerator physics. Fourth edition.</w:t>
      </w:r>
      <w:r>
        <w:rPr>
          <w:rFonts w:cs="Times New Roman" w:ascii="Times New Roman" w:hAnsi="Times New Roman"/>
          <w:sz w:val="22"/>
          <w:szCs w:val="22"/>
        </w:rPr>
        <w:t xml:space="preserve"> // </w:t>
      </w:r>
      <w:r>
        <w:rPr>
          <w:rFonts w:cs="Times New Roman" w:ascii="Times New Roman" w:hAnsi="Times New Roman"/>
          <w:sz w:val="22"/>
          <w:szCs w:val="22"/>
          <w:lang w:val="en-US"/>
        </w:rPr>
        <w:t>Springler, 2015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Разработка конструкторской документации, изготовление и поставка сильноточного линейного резонансного ускорителя электронов. Пояснительная записка. // ООО «Лаборатория электронных ускорителей МГУ», 2023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 w:before="0" w:after="312"/>
        <w:contextualSpacing/>
        <w:rPr/>
      </w:pPr>
      <w:r>
        <w:rPr>
          <w:rFonts w:cs="Times New Roman" w:ascii="Times New Roman" w:hAnsi="Times New Roman"/>
          <w:sz w:val="22"/>
          <w:szCs w:val="22"/>
          <w:lang w:val="en-US"/>
        </w:rPr>
        <w:t xml:space="preserve">L. Deniau, H. Grote, G. Roy, F. Schmidt. The MAD-X Program (Methodical Accelerator Design), User’s Reference Manual, European laboratory for particle physics, 2021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 w:before="0" w:after="312"/>
        <w:contextualSpacing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en-US"/>
        </w:rPr>
        <w:t>CST Studio Suite. // CST Microwave Studio, http://www.cst.com</w:t>
      </w:r>
    </w:p>
    <w:p>
      <w:pPr>
        <w:pStyle w:val="ListParagraph"/>
        <w:widowControl w:val="false"/>
        <w:spacing w:lineRule="atLeast" w:line="285" w:before="0" w:after="312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footerReference w:type="default" r:id="rId5"/>
      <w:type w:val="nextPage"/>
      <w:pgSz w:w="11906" w:h="16838"/>
      <w:pgMar w:left="1361" w:right="1361" w:gutter="0" w:header="0" w:top="1134" w:footer="709" w:bottom="1361"/>
      <w:pgNumType w:start="128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ucida Grande CY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41c8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41a6b"/>
    <w:rPr>
      <w:rFonts w:ascii="Lucida Grande CY" w:hAnsi="Lucida Grande CY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4d2872"/>
    <w:rPr>
      <w:color w:val="808080"/>
    </w:rPr>
  </w:style>
  <w:style w:type="character" w:styleId="HeaderChar" w:customStyle="1">
    <w:name w:val="Header Char"/>
    <w:basedOn w:val="DefaultParagraphFont"/>
    <w:uiPriority w:val="99"/>
    <w:qFormat/>
    <w:rsid w:val="00de0726"/>
    <w:rPr/>
  </w:style>
  <w:style w:type="character" w:styleId="FooterChar" w:customStyle="1">
    <w:name w:val="Footer Char"/>
    <w:basedOn w:val="DefaultParagraphFont"/>
    <w:uiPriority w:val="99"/>
    <w:qFormat/>
    <w:rsid w:val="00de0726"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41a6b"/>
    <w:pPr/>
    <w:rPr>
      <w:rFonts w:ascii="Lucida Grande CY" w:hAnsi="Lucida Grande CY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7e109a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a01c1"/>
    <w:pPr>
      <w:spacing w:before="0" w:after="0"/>
      <w:ind w:hanging="0"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e072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de072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>
    <w:name w:val="Фигура"/>
    <w:basedOn w:val="Caption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279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D513-C44B-4A25-B11D-66B422F6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LibreOffice/7.6.2.1$Windows_X86_64 LibreOffice_project/56f7684011345957bbf33a7ee678afaf4d2ba333</Application>
  <AppVersion>15.0000</AppVersion>
  <Pages>2</Pages>
  <Words>453</Words>
  <Characters>3039</Characters>
  <CharactersWithSpaces>3491</CharactersWithSpaces>
  <Paragraphs>15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2021-07-08T08:24:00Z</dcterms:created>
  <dc:creator>Дети</dc:creator>
  <dc:description/>
  <dc:language>ru-RU</dc:language>
  <cp:lastModifiedBy/>
  <dcterms:modified xsi:type="dcterms:W3CDTF">2026-02-26T17:20:46Z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