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lineRule="auto" w:line="240"/>
        <w:ind w:left="0" w:right="0" w:firstLine="397"/>
        <w:jc w:val="center"/>
        <w:rPr/>
      </w:pPr>
      <w:r>
        <w:rPr>
          <w:rStyle w:val="Style16"/>
          <w:rFonts w:cs="Times New Roman" w:ascii="Times New Roman" w:hAnsi="Times New Roman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Наблюдения мазеров</w:t>
      </w:r>
      <w:r>
        <w:rPr>
          <w:rStyle w:val="Style16"/>
          <w:rFonts w:cs="Times New Roman" w:ascii="Times New Roman" w:hAnsi="Times New Roman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 xml:space="preserve"> </w:t>
      </w:r>
      <w:r>
        <w:rPr>
          <w:rStyle w:val="Style16"/>
          <w:rFonts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H</w:t>
      </w:r>
      <w:r>
        <w:rPr>
          <w:rStyle w:val="Style16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₂</w:t>
      </w:r>
      <w:r>
        <w:rPr>
          <w:rStyle w:val="Style16"/>
          <w:rFonts w:eastAsia="Times New Roman" w:cs="Times New Roman" w:ascii="Times New Roman" w:hAnsi="Times New Roman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O</w:t>
      </w:r>
      <w:r>
        <w:rPr>
          <w:rStyle w:val="Style16"/>
          <w:rFonts w:cs="Times New Roman" w:ascii="Times New Roman" w:hAnsi="Times New Roman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 в направлении на яркие метанольные мазеры I класса на радиотелескопе РТ-22 Пущинской радиоастрономической обсерватории</w:t>
      </w:r>
    </w:p>
    <w:p>
      <w:pPr>
        <w:pStyle w:val="Style18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6"/>
          <w:rFonts w:cs="Times New Roman" w:ascii="Times New Roman" w:hAnsi="Times New Roman"/>
          <w:i/>
          <w:iCs/>
          <w:caps w:val="false"/>
          <w:smallCaps w:val="false"/>
          <w:color w:val="353535"/>
          <w:spacing w:val="0"/>
          <w:sz w:val="24"/>
          <w:szCs w:val="24"/>
        </w:rPr>
        <w:t>С</w:t>
      </w:r>
      <w:r>
        <w:rPr>
          <w:rStyle w:val="Style16"/>
          <w:rFonts w:cs="Times New Roman" w:ascii="Times New Roman" w:hAnsi="Times New Roman"/>
          <w:b/>
          <w:i/>
          <w:iCs/>
          <w:caps w:val="false"/>
          <w:smallCaps w:val="false"/>
          <w:color w:val="353535"/>
          <w:spacing w:val="0"/>
          <w:sz w:val="24"/>
          <w:szCs w:val="24"/>
        </w:rPr>
        <w:t>озинова П.С.¹ ², Шахворостова Н.Н.²</w:t>
      </w:r>
    </w:p>
    <w:p>
      <w:pPr>
        <w:pStyle w:val="Style18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6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Студентка, лаборант</w:t>
      </w:r>
      <w:r>
        <w:rPr>
          <w:rStyle w:val="Style16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lang w:val="ru-RU"/>
        </w:rPr>
        <w:t>ка</w:t>
      </w:r>
      <w:r>
        <w:rPr>
          <w:rStyle w:val="Style16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АКЦ ФИАН, к.ф.-м.н, с.н.с. АКЦ ФИАН, </w:t>
      </w:r>
    </w:p>
    <w:p>
      <w:pPr>
        <w:pStyle w:val="Style18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4"/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¹Московский государственный университет имени М.В.Ломоносова,</w:t>
      </w:r>
    </w:p>
    <w:p>
      <w:pPr>
        <w:pStyle w:val="Style18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4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²Астрокосмический центр Физического института им. П.Н. Лебедева РАН,</w:t>
      </w:r>
    </w:p>
    <w:p>
      <w:pPr>
        <w:pStyle w:val="Style18"/>
        <w:widowControl/>
        <w:bidi w:val="0"/>
        <w:spacing w:lineRule="auto" w:line="240" w:before="0" w:after="120"/>
        <w:ind w:left="0" w:right="0" w:hanging="0"/>
        <w:jc w:val="center"/>
        <w:rPr/>
      </w:pPr>
      <w:r>
        <w:rPr>
          <w:rStyle w:val="Style14"/>
          <w:rFonts w:eastAsia="Times New Roman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yle14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факультет космических исследований, Москва, Россия</w:t>
      </w:r>
    </w:p>
    <w:p>
      <w:pPr>
        <w:pStyle w:val="Style18"/>
        <w:widowControl/>
        <w:bidi w:val="0"/>
        <w:spacing w:lineRule="auto" w:line="240" w:before="0" w:after="113"/>
        <w:ind w:left="0" w:right="0" w:hanging="0"/>
        <w:jc w:val="center"/>
        <w:rPr>
          <w:rFonts w:ascii="Times New Roman" w:hAnsi="Times New Roman"/>
        </w:rPr>
      </w:pPr>
      <w:r>
        <w:rPr>
          <w:rStyle w:val="Style14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E–mail:</w:t>
      </w:r>
      <w:r>
        <w:rPr>
          <w:rStyle w:val="Style14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hyperlink r:id="rId2"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apolinas225</w:t>
        </w:r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@</w:t>
        </w:r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  <w:lang w:val="en-US"/>
          </w:rPr>
          <w:t>mail</w:t>
        </w:r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.ru</w:t>
        </w:r>
      </w:hyperlink>
      <w:r>
        <w:rPr>
          <w:rStyle w:val="Style14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hyperlink r:id="rId3"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nadya.shakh@gmail.com</w:t>
        </w:r>
      </w:hyperlink>
      <w:r>
        <w:rPr>
          <w:rStyle w:val="Style14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Style18"/>
        <w:widowControl/>
        <w:bidi w:val="0"/>
        <w:spacing w:lineRule="auto" w:line="240" w:before="0" w:after="0"/>
        <w:ind w:left="0" w:right="0" w:firstLine="283"/>
        <w:jc w:val="both"/>
        <w:rPr/>
      </w:pPr>
      <w:r>
        <w:rPr>
          <w:rFonts w:ascii="Times New Roman" w:hAnsi="Times New Roman"/>
        </w:rPr>
        <w:t xml:space="preserve">Одно из самых актуальных направлений астрофизики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sz w:val="22"/>
          <w:szCs w:val="22"/>
          <w:lang w:val="en-US"/>
        </w:rPr>
        <w:t xml:space="preserve">– </w:t>
      </w:r>
      <w:r>
        <w:rPr>
          <w:rFonts w:ascii="Times New Roman" w:hAnsi="Times New Roman"/>
        </w:rPr>
        <w:t>исследование областей образования массивных звезд: молекулярных облаков. И одним из основных инструментов для их изучение</w:t>
      </w:r>
      <w:r>
        <w:rPr>
          <w:rFonts w:ascii="Times New Roman" w:hAnsi="Times New Roman"/>
          <w:lang w:val="ru-RU"/>
        </w:rPr>
        <w:t xml:space="preserve"> я</w:t>
      </w:r>
      <w:r>
        <w:rPr>
          <w:rFonts w:ascii="Times New Roman" w:hAnsi="Times New Roman"/>
          <w:lang w:val="ru-RU"/>
        </w:rPr>
        <w:t>вл</w:t>
      </w:r>
      <w:r>
        <w:rPr>
          <w:rFonts w:ascii="Times New Roman" w:hAnsi="Times New Roman"/>
          <w:lang w:val="ru-RU"/>
        </w:rPr>
        <w:t xml:space="preserve">яется </w:t>
      </w:r>
      <w:r>
        <w:rPr>
          <w:rFonts w:ascii="Times New Roman" w:hAnsi="Times New Roman"/>
        </w:rPr>
        <w:t xml:space="preserve">мазерное излучение молекул, в частности мазерное излучение 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H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₂O и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CH₃OH класса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I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II.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ascii="Times New Roman" w:hAnsi="Times New Roman"/>
          <w:lang w:val="ru-RU"/>
        </w:rPr>
        <w:t xml:space="preserve">Механизмы возбуждения мазеров </w:t>
      </w:r>
      <w:r>
        <w:rPr>
          <w:rFonts w:ascii="Times New Roman" w:hAnsi="Times New Roman"/>
          <w:b w:val="false"/>
          <w:bCs w:val="false"/>
          <w:lang w:val="ru-RU"/>
        </w:rPr>
        <w:t xml:space="preserve">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H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₂O и мазеров молекулы метанола класса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 xml:space="preserve">I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имеют много сходств, а мазеры молекулы метанола класса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 xml:space="preserve">II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ассоциируются с одними и теми же областями возбуждения, что и мазеры молекул водяного пара 22 ГГц, и их вспышки связаны друг с другом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>п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о времени возникновения. В настоящей работе была поставлена цель провести поисковый обзор в линии водяного пара 22 ГГц, </w:t>
      </w:r>
      <w:r>
        <w:rPr>
          <w:rStyle w:val="Style16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λ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= 1.35 см, (вращательный переход 6₁₆ - 5₂₃) в направлении на источники ярких метанольных мазеров первого класса (</w:t>
      </w:r>
      <w:r>
        <w:rPr>
          <w:rStyle w:val="Style16"/>
          <w:rFonts w:eastAsia="NSimSun" w:cs="Lucida Sans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~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30 Ян), проанализировать их поведение в течение наблюдений, охватывающих несколько месяцев, и связь с мазерным излучением молекулы метанола первого и второго класса. 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Для проведения поискового обзора мазеров водяного пара была использована база данных MaserDB.net (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>[5], [7])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. В список исследуемых вошло 56 областей звездообразования, молекулярных ядер и облаков. Наблюдения были проведены на телескопе РТ-22 Пущинской радиоастрономической обсерватории ФИАН в три периода: 24-28 февраля, 25-28 марта и 16-20 июня 2025 г.  Данные наблюдений были обработаны с помощью демоверсии* программы RT22, созданной коллегой из Уральского Федерального университета специально для пущинского радиотелескопа РТ-22. В процессе обработки были получены спектры излучения, зафиксированного в наблюдаемых источниках, амплитуда плотности потока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 xml:space="preserve"> Sₚ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в Ян и лучевая скорость линии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>Vₗₛ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vertAlign w:val="subscript"/>
          <w:lang w:val="en-US"/>
        </w:rPr>
        <w:t>r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en-US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в км/с.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(Примечание* </w:t>
      </w:r>
      <w:r>
        <w:rPr>
          <w:rStyle w:val="Style16"/>
          <w:rFonts w:eastAsia="NSimSun" w:cs="Lucida Sans" w:ascii="Times New Roman" w:hAnsi="Times New Roman"/>
          <w:b w:val="false"/>
          <w:bCs w:val="false"/>
          <w:i w:val="false"/>
          <w:iCs/>
          <w:caps w:val="false"/>
          <w:smallCaps w:val="false"/>
          <w:color w:val="353535"/>
          <w:spacing w:val="0"/>
          <w:sz w:val="22"/>
          <w:szCs w:val="22"/>
          <w:lang w:val="en-US"/>
        </w:rPr>
        <w:t>–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353535"/>
          <w:spacing w:val="0"/>
          <w:sz w:val="24"/>
          <w:szCs w:val="24"/>
          <w:lang w:val="ru-RU"/>
        </w:rPr>
        <w:t xml:space="preserve"> работа/программа ещё не выпущена автором в открытый доступ). 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В</w:t>
      </w:r>
      <w:r>
        <w:rPr>
          <w:rFonts w:ascii="Times New Roman" w:hAnsi="Times New Roman"/>
        </w:rPr>
        <w:t xml:space="preserve"> 26 источниках из 56 было обнаружено мазерное излучение молекул водяного пара на частоте 22 ГГц. Вероятность обнаружения мазера </w:t>
      </w:r>
      <w:r>
        <w:rPr>
          <w:rStyle w:val="Style16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H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₂O</w:t>
      </w:r>
      <w:r>
        <w:rPr>
          <w:rFonts w:ascii="Times New Roman" w:hAnsi="Times New Roman"/>
        </w:rPr>
        <w:t xml:space="preserve"> в направлении на метанольные мазеры класса I составила </w:t>
      </w:r>
      <w:r>
        <w:rPr>
          <w:rFonts w:eastAsia="NSimSun" w:cs="Lucida Sans" w:ascii="Times New Roman" w:hAnsi="Times New Roman"/>
        </w:rPr>
        <w:t>~</w:t>
      </w:r>
      <w:r>
        <w:rPr>
          <w:rFonts w:ascii="Times New Roman" w:hAnsi="Times New Roman"/>
        </w:rPr>
        <w:t xml:space="preserve">0.5, что говорит об отсутствии какой-либо предсказательной способности обнаружения, а в направлении на мазеры класса II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sz w:val="22"/>
          <w:szCs w:val="22"/>
          <w:lang w:val="en-US"/>
        </w:rPr>
        <w:t>–</w:t>
      </w:r>
      <w:r>
        <w:rPr>
          <w:rFonts w:ascii="Times New Roman" w:hAnsi="Times New Roman"/>
        </w:rPr>
        <w:t xml:space="preserve"> 0.65.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ascii="Times New Roman" w:hAnsi="Times New Roman"/>
        </w:rPr>
        <w:t>В 22 источниках был зафиксирован сигнал в 2 и в 3 периода наблюдений, благодаря чему удалось хорошо проследить за динамикой мазерного излучения в большинстве источников. Источники G24.33+0.14</w:t>
      </w:r>
      <w:r>
        <w:rPr>
          <w:rFonts w:ascii="Times New Roman" w:hAnsi="Times New Roman"/>
          <w:lang w:val="ru-RU"/>
        </w:rPr>
        <w:t>, G25.65+1.05</w:t>
      </w:r>
      <w:r>
        <w:rPr>
          <w:rFonts w:ascii="Times New Roman" w:hAnsi="Times New Roman"/>
          <w:lang w:val="en-US"/>
        </w:rPr>
        <w:t>, IRAS21078+5211, G85.410+0.003, G49.489-0.387, G78.870+2.762, G81.871+0.781, G192.599-0.048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представляют особый интерес для дальнейших наблюдений из-за прослеживающейся в них динамики излучения, яркости сигнала, большого количества компонент в спектре и т. д.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ascii="Times New Roman" w:hAnsi="Times New Roman"/>
        </w:rPr>
        <w:t xml:space="preserve">Для источников, в которых обнаружено излучение мазеров водяного пара на частоте 22 ГГц, был проведён анализ по поиску корреляции между </w:t>
      </w:r>
      <w:r>
        <w:rPr>
          <w:rFonts w:ascii="Times New Roman" w:hAnsi="Times New Roman"/>
          <w:lang w:val="ru-RU"/>
        </w:rPr>
        <w:t xml:space="preserve">пиковыми плотностями потока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353535"/>
          <w:spacing w:val="0"/>
          <w:sz w:val="24"/>
          <w:szCs w:val="24"/>
          <w:lang w:val="ru-RU"/>
        </w:rPr>
        <w:t>Sₚ</w:t>
      </w:r>
      <w:r>
        <w:rPr>
          <w:rFonts w:ascii="Times New Roman" w:hAnsi="Times New Roman"/>
        </w:rPr>
        <w:t xml:space="preserve"> (Ян) и светимостями</w:t>
      </w:r>
      <w:r>
        <w:rPr>
          <w:rFonts w:ascii="Times New Roman" w:hAnsi="Times New Roman"/>
          <w:lang w:val="en-US"/>
        </w:rPr>
        <w:t xml:space="preserve"> L </w:t>
      </w:r>
      <w:r>
        <w:rPr>
          <w:rFonts w:ascii="Times New Roman" w:hAnsi="Times New Roman"/>
        </w:rPr>
        <w:t>мазеров водяного пара и мазеров метанола первого класса (44 ГГц, 95 ГГц) и второго класса (6.7 ГГц). Значения плотности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 xml:space="preserve"> потока излучения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для мазеров метанола были взяты из наблюдений прошлых лет, найденных в базе данных MaserDB.net. Светимости были рассчитаны по формулам (</w:t>
      </w:r>
      <w:r>
        <w:rPr>
          <w:rFonts w:ascii="Times New Roman" w:hAnsi="Times New Roman"/>
          <w:lang w:val="en-US"/>
        </w:rPr>
        <w:t>[3]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en-US"/>
        </w:rPr>
        <w:t>: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L</m:t>
              </m:r>
            </m:e>
            <m:sub>
              <m:r>
                <w:rPr>
                  <w:rFonts w:ascii="Cambria Math" w:hAnsi="Cambria Math"/>
                </w:rPr>
                <m:t xml:space="preserve">22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2.33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10</m:t>
              </m:r>
            </m:e>
            <m:sup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8</m:t>
              </m:r>
            </m:sup>
          </m:sSup>
          <m:sSub>
            <m:e>
              <m:r>
                <w:rPr>
                  <w:rFonts w:ascii="Cambria Math" w:hAnsi="Cambria Math"/>
                </w:rPr>
                <m:t xml:space="preserve">L</m:t>
              </m:r>
            </m:e>
            <m:sub>
              <m:r>
                <w:rPr>
                  <w:rFonts w:ascii="Cambria Math" w:hAnsi="Cambria Math"/>
                </w:rPr>
                <m:t xml:space="preserve">sun</m:t>
              </m:r>
            </m:sub>
          </m:sSub>
          <m:d>
            <m:dPr>
              <m:begChr m:val="("/>
              <m:endChr m:val=")"/>
            </m:dPr>
            <m:e>
              <m:f>
                <m:num>
                  <m:nary>
                    <m:naryPr>
                      <m:chr m:val="∫"/>
                      <m:subHide m:val="1"/>
                      <m:supHide m:val="1"/>
                    </m:naryPr>
                    <m:sub/>
                    <m:sup/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22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 xml:space="preserve">dv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Jy</m:t>
                  </m:r>
                  <m:r>
                    <w:rPr>
                      <w:rFonts w:ascii="Cambria Math" w:hAnsi="Cambria Math"/>
                    </w:rPr>
                    <m:t xml:space="preserve">km</m:t>
                  </m:r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sup>
                  </m:sSup>
                </m:den>
              </m:f>
            </m:e>
          </m:d>
          <m:sSup>
            <m:e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kpc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 xml:space="preserve">2</m:t>
              </m:r>
            </m:sup>
          </m:sSup>
        </m:oMath>
      </m:oMathPara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L</m:t>
              </m:r>
            </m:e>
            <m:sub>
              <m:r>
                <w:rPr>
                  <w:rFonts w:ascii="Cambria Math" w:hAnsi="Cambria Math"/>
                </w:rPr>
                <m:t xml:space="preserve">6.7</m:t>
              </m:r>
            </m:sub>
          </m:sSub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6.95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10</m:t>
              </m:r>
            </m:e>
            <m:sup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9</m:t>
              </m:r>
            </m:sup>
          </m:sSup>
          <m:sSub>
            <m:e>
              <m:r>
                <w:rPr>
                  <w:rFonts w:ascii="Cambria Math" w:hAnsi="Cambria Math"/>
                </w:rPr>
                <m:t xml:space="preserve">L</m:t>
              </m:r>
            </m:e>
            <m:sub>
              <m:r>
                <w:rPr>
                  <w:rFonts w:ascii="Cambria Math" w:hAnsi="Cambria Math"/>
                </w:rPr>
                <m:t xml:space="preserve">sun</m:t>
              </m:r>
            </m:sub>
          </m:sSub>
          <m:d>
            <m:dPr>
              <m:begChr m:val="("/>
              <m:endChr m:val=")"/>
            </m:dPr>
            <m:e>
              <m:f>
                <m:num>
                  <m:nary>
                    <m:naryPr>
                      <m:chr m:val="∫"/>
                      <m:subHide m:val="1"/>
                      <m:supHide m:val="1"/>
                    </m:naryPr>
                    <m:sub/>
                    <m:sup/>
                    <m:e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6.7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 xml:space="preserve">dv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Jy</m:t>
                  </m:r>
                  <m:r>
                    <w:rPr>
                      <w:rFonts w:ascii="Cambria Math" w:hAnsi="Cambria Math"/>
                    </w:rPr>
                    <m:t xml:space="preserve">km</m:t>
                  </m:r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sup>
                  </m:sSup>
                </m:den>
              </m:f>
            </m:e>
          </m:d>
          <m:sSup>
            <m:e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kpc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 xml:space="preserve">2</m:t>
              </m:r>
            </m:sup>
          </m:sSup>
        </m:oMath>
      </m:oMathPara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Тут важно отметить то, что мы рассчитывали светимости полного потока в одном спектральном канале, т.е., </w:t>
      </w:r>
      <w:r>
        <w:rPr/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  <m:sub>
                <m:r>
                  <w:rPr>
                    <w:rFonts w:ascii="Cambria Math" w:hAnsi="Cambria Math"/>
                  </w:rPr>
                  <m:t xml:space="preserve">22</m:t>
                </m:r>
              </m:sub>
            </m:sSub>
          </m:e>
        </m:nary>
        <m:r>
          <w:rPr>
            <w:rFonts w:ascii="Cambria Math" w:hAnsi="Cambria Math"/>
          </w:rPr>
          <m:t xml:space="preserve">dv</m:t>
        </m:r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S</m:t>
            </m:r>
          </m:e>
          <m:sub>
            <m:r>
              <w:rPr>
                <w:rFonts w:ascii="Cambria Math" w:hAnsi="Cambria Math"/>
              </w:rPr>
              <m:t xml:space="preserve">p</m:t>
            </m:r>
          </m:sub>
        </m:sSub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dy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i/>
          <w:iCs/>
        </w:rPr>
        <w:t xml:space="preserve">dv </w:t>
      </w:r>
      <w:r>
        <w:rPr>
          <w:rFonts w:eastAsia="NSimSun" w:cs="Lucida Sans" w:ascii="Times New Roman" w:hAnsi="Times New Roman"/>
          <w:b w:val="false"/>
          <w:i w:val="false"/>
          <w:iCs/>
          <w:caps w:val="false"/>
          <w:smallCaps w:val="false"/>
          <w:spacing w:val="0"/>
          <w:lang w:val="en-US"/>
        </w:rPr>
        <w:t xml:space="preserve">– </w:t>
      </w:r>
      <w:r>
        <w:rPr>
          <w:rFonts w:ascii="Times New Roman" w:hAnsi="Times New Roman"/>
        </w:rPr>
        <w:t>ширина спектрального канала РТ-22 в км/с (</w:t>
      </w:r>
      <w:r>
        <w:rPr>
          <w:rFonts w:eastAsia="NSimSun" w:cs="Lucida Sans" w:ascii="Times New Roman" w:hAnsi="Times New Roman"/>
        </w:rPr>
        <w:t>~</w:t>
      </w:r>
      <w:r>
        <w:rPr>
          <w:rFonts w:ascii="Times New Roman" w:hAnsi="Times New Roman"/>
        </w:rPr>
        <w:t>0.08 км/с). Такое упрощение было вызвано тем, что мы не располагали данными о полных плотностях потока для каждого источника из выборки, в котором наблюдался метанол класса II на частоте 6.7 ГГц.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Из результатов статистического исследования, представленных можно сделать следующие выводы: 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1. Присутствует статистически значимая корреляция между мазерами водяного пара и метанола второго класса на частоте 6.7 ГГц (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R²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= 0.525, p = 0.0003,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 xml:space="preserve">rₛ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= 0.68,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N = 20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).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 xml:space="preserve">R² –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коэфф. детерминации,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 xml:space="preserve">p –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уровень значимости,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 xml:space="preserve">N –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число источников в выборке,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 xml:space="preserve">rₛ –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коэффициент корреляции Спирмена.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ru-RU" w:eastAsia="zh-CN" w:bidi="hi-IN"/>
        </w:rPr>
        <w:t>Мы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так же проверили, наблюдается ли подобный эффект при сравнении светимостей мазеров L, так как корреляция пиковых плотностей могла быть вызвана зависимостью от расстояний до источников. Результаты этого сравнения (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R²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= 0.535, p = 0.0001,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 xml:space="preserve">rₛ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= 0.65, рис.1) показали, что существует статистическая значимая связь между светимостями мазеров метанола класса II на частоте 6.7 ГГц и воды на частоте 22 ГГц. Такая связь может объясняться общей тенденцией к совместному появлению этих двух типов мазеров в областях массивного звездообразования, хотя и в разные эволюционный этапы (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[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2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], [4], [6]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). 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283"/>
        <w:jc w:val="both"/>
        <w:rPr/>
      </w:pP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2. Отсутствует значимая корреляция с мазерами метанола на частоте 44 ГГц (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R²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= 0.001, p = 0.872,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rₛ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= 0.07,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N = 23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) и 95 ГГц (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R²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= 0.005, p = 0.735,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rₛ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= 0.04,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N = 24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). Так же отсутствует всякая корреляция светимостей. Несмотря на то, что мазеры водяного пара и мазеры метанола первого класса имеют схожие механизмы возбуждения, их излучение ассоциируется с разными участками облака (сIMM чаще возникают на периферии облака, мазеры водяного пара ближе к его ядру) и условия их возбуждения отличаются, поэтому отсутствие корреляции между их излучениями закономерно и согласуется с результатами других исследований на эту тему (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[1], [3]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).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297815</wp:posOffset>
            </wp:positionH>
            <wp:positionV relativeFrom="paragraph">
              <wp:posOffset>89535</wp:posOffset>
            </wp:positionV>
            <wp:extent cx="2471420" cy="24771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2768600</wp:posOffset>
            </wp:positionH>
            <wp:positionV relativeFrom="paragraph">
              <wp:posOffset>89535</wp:posOffset>
            </wp:positionV>
            <wp:extent cx="2564765" cy="247713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Р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ис. 1. Корреляция между log(S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vertAlign w:val="subscript"/>
          <w:lang w:val="en-US"/>
        </w:rPr>
        <w:t>p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/Jy)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(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S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vertAlign w:val="subscript"/>
          <w:lang w:val="en-US"/>
        </w:rPr>
        <w:t>p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- пиковая плотность потока излучения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)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мазера 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H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₂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en-US"/>
        </w:rPr>
        <w:t>O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на частоте 22 ГГц и метанола класса II на частоте 6.7 ГГц и между светимостями log(L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₂₂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/Lₛ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vertAlign w:val="subscript"/>
          <w:lang w:val="en-US"/>
        </w:rPr>
        <w:t>un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) мазера H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₂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O и log(L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₆.₇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>/Lₛ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vertAlign w:val="subscript"/>
          <w:lang w:val="en-US"/>
        </w:rPr>
        <w:t>un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) мазера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CH₃OH</w:t>
      </w:r>
      <w:r>
        <w:rPr>
          <w:rFonts w:eastAsia="NSimSun" w:cs="Lucida Sans" w:ascii="Times New Roman" w:hAnsi="Times New Roman"/>
          <w:b w:val="false"/>
          <w:i w:val="false"/>
          <w:caps w:val="false"/>
          <w:smallCaps w:val="false"/>
          <w:spacing w:val="0"/>
          <w:lang w:val="ru-RU"/>
        </w:rPr>
        <w:t xml:space="preserve"> </w:t>
      </w:r>
    </w:p>
    <w:p>
      <w:pPr>
        <w:pStyle w:val="Style18"/>
        <w:widowControl/>
        <w:bidi w:val="0"/>
        <w:spacing w:lineRule="auto" w:line="240" w:before="0" w:after="0"/>
        <w:ind w:left="0" w:right="0" w:firstLine="397"/>
        <w:jc w:val="center"/>
        <w:rPr/>
      </w:pPr>
      <w:r>
        <w:rPr>
          <w:rStyle w:val="Style16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353535"/>
          <w:spacing w:val="0"/>
          <w:sz w:val="24"/>
          <w:szCs w:val="24"/>
          <w:u w:val="none"/>
        </w:rPr>
        <w:t>Литература</w:t>
      </w:r>
      <w:r>
        <w:rPr>
          <w:rStyle w:val="Style14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Style18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Bae Jae-Han, Kim Kee-Tae, Youn So-Young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et al. A Multi-Epoch, Simultaneous Water and Methanol Maser Survey toward Intermediate-Mass Young Stellar Objects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// Astrophys. J. 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Supp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l.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Ser.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2011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 Vol.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197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 № 2,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 xml:space="preserve"> 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17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8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Bartkiewicz A., Szymczak M. et al. VLA observations of water masers towards 6.7 GHz methanol maser sources // Astron. Astrophys. 201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Vol.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525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Style w:val="Style14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en-US" w:eastAsia="zh-CN" w:bidi="hi-IN"/>
        </w:rPr>
        <w:t>A120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8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Kim Chang-Hee,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Kim Kee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-Tae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et al. Simultaneous Survey of Water and Class I Methanol Masers toward Red MSX Sources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// Astrophy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s.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J. Suppl. Ser.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0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18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Vol.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236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p. </w:t>
      </w:r>
      <w:r>
        <w:rPr>
          <w:rStyle w:val="Style14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en-US" w:eastAsia="zh-CN" w:bidi="hi-IN"/>
        </w:rPr>
        <w:t>31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8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Ladeyschikov D. A., Bayandina O.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et al. Water Masers as an Early Tracer of Star Formation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//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Astrophy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s.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J.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Supp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l.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Ser.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2022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 Vol. 2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60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, №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 2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Style w:val="Style14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en-US" w:eastAsia="zh-CN" w:bidi="hi-IN"/>
        </w:rPr>
        <w:t>23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8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Ladeyschikov D.A.,  Sobolev A.M. </w:t>
      </w:r>
      <w:r>
        <w:rPr>
          <w:rStyle w:val="Style14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en-US" w:eastAsia="zh-CN" w:bidi="hi-IN"/>
        </w:rPr>
        <w:t>et al.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Online Database of Multiwavelength Water Masers in Galactic Star-forming Regions// Astron. J. 20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22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Vol.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163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№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3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124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–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138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8"/>
        <w:widowControl/>
        <w:numPr>
          <w:ilvl w:val="0"/>
          <w:numId w:val="1"/>
        </w:numPr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Szymczak M., Pillai T., Menten, K. M. Water masers in 6.7 GHz methanol maser sources // Astro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 xml:space="preserve">n.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Astrophys. 200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5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Vol.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434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№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2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,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p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. 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613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–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en-US"/>
        </w:rPr>
        <w:t>623</w:t>
      </w:r>
      <w:r>
        <w:rPr>
          <w:rStyle w:val="Style14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</w:p>
    <w:p>
      <w:pPr>
        <w:pStyle w:val="Style18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NSimSun"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lang w:val="ru-RU"/>
        </w:rPr>
        <w:t>https://maserdb.net/</w:t>
      </w:r>
    </w:p>
    <w:sectPr>
      <w:type w:val="nextPage"/>
      <w:pgSz w:w="11906" w:h="16838"/>
      <w:pgMar w:left="1361" w:right="1361" w:header="0" w:top="1134" w:footer="0" w:bottom="125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80"/>
      </w:pPr>
      <w:rPr>
        <w:smallCaps w:val="false"/>
        <w:caps w:val="false"/>
        <w:sz w:val="24"/>
        <w:spacing w:val="0"/>
        <w:i w:val="false"/>
        <w:b w:val="false"/>
        <w:szCs w:val="24"/>
        <w:iCs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Выделение жирным"/>
    <w:qFormat/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iCs w:val="false"/>
      <w:caps w:val="false"/>
      <w:smallCaps w:val="false"/>
      <w:color w:val="000000"/>
      <w:spacing w:val="0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polinas225@mail.ru" TargetMode="External"/><Relationship Id="rId3" Type="http://schemas.openxmlformats.org/officeDocument/2006/relationships/hyperlink" Target="mailto:nadya.shakh@gmail.com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LibreOffice/7.0.1.2$Windows_x86 LibreOffice_project/7cbcfc562f6eb6708b5ff7d7397325de9e764452</Application>
  <Pages>3</Pages>
  <Words>1007</Words>
  <Characters>5684</Characters>
  <CharactersWithSpaces>6643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2026-02-19T17:06:02Z</dcterms:created>
  <dc:creator/>
  <dc:description/>
  <dc:language>ru-RU</dc:language>
  <cp:lastModifiedBy/>
  <dcterms:modified xsi:type="dcterms:W3CDTF">2026-03-08T20:13:02Z</dcterms:modified>
  <cp:revision>5</cp:revision>
  <dc:subject/>
  <dc:title/>
</cp:coreProperties>
</file>