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ind w:right="13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Поиск кандидатов в кротовые норы в двойных системах типа </w:t>
      </w:r>
      <w:proofErr w:type="spellStart"/>
      <w:r>
        <w:rPr>
          <w:b/>
          <w:bCs/>
          <w:color w:val="000000"/>
          <w:sz w:val="24"/>
          <w:szCs w:val="24"/>
        </w:rPr>
        <w:t>Gaia</w:t>
      </w:r>
      <w:proofErr w:type="spellEnd"/>
      <w:r>
        <w:rPr>
          <w:b/>
          <w:bCs/>
          <w:color w:val="000000"/>
          <w:sz w:val="24"/>
          <w:szCs w:val="24"/>
        </w:rPr>
        <w:t xml:space="preserve"> BH1 по рядам лучевых скоростей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iCs/>
          <w:color w:val="000000"/>
          <w:sz w:val="24"/>
          <w:szCs w:val="24"/>
          <w:vertAlign w:val="superscript"/>
        </w:rPr>
      </w:pPr>
      <w:r>
        <w:rPr>
          <w:b/>
          <w:bCs/>
          <w:i/>
          <w:iCs/>
          <w:color w:val="000000"/>
          <w:sz w:val="24"/>
          <w:szCs w:val="24"/>
        </w:rPr>
        <w:t>Моисеев Ю.А.</w:t>
      </w:r>
      <w:r>
        <w:rPr>
          <w:b/>
          <w:bCs/>
          <w:i/>
          <w:iCs/>
          <w:color w:val="000000"/>
          <w:sz w:val="24"/>
          <w:szCs w:val="24"/>
          <w:vertAlign w:val="superscript"/>
        </w:rPr>
        <w:t>1,2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студент</w:t>
      </w:r>
      <w:proofErr w:type="gramStart"/>
      <w:r>
        <w:rPr>
          <w:b/>
          <w:bCs/>
          <w:i/>
          <w:iCs/>
          <w:color w:val="000000"/>
          <w:sz w:val="24"/>
          <w:szCs w:val="24"/>
          <w:vertAlign w:val="superscript"/>
        </w:rPr>
        <w:t>1</w:t>
      </w:r>
      <w:proofErr w:type="gramEnd"/>
      <w:r>
        <w:rPr>
          <w:i/>
          <w:iCs/>
          <w:color w:val="000000"/>
          <w:sz w:val="24"/>
          <w:szCs w:val="24"/>
        </w:rPr>
        <w:t>, ведущий программист</w:t>
      </w:r>
      <w:r>
        <w:rPr>
          <w:i/>
          <w:iCs/>
          <w:color w:val="000000"/>
          <w:sz w:val="24"/>
          <w:szCs w:val="24"/>
          <w:vertAlign w:val="superscript"/>
        </w:rPr>
        <w:t>2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iCs/>
          <w:color w:val="000000"/>
          <w:sz w:val="24"/>
          <w:szCs w:val="24"/>
          <w:vertAlign w:val="superscript"/>
        </w:rPr>
      </w:pPr>
      <w:r>
        <w:rPr>
          <w:b/>
          <w:bCs/>
          <w:i/>
          <w:iCs/>
          <w:color w:val="000000"/>
          <w:sz w:val="24"/>
          <w:szCs w:val="24"/>
        </w:rPr>
        <w:t>Сажина О.С.</w:t>
      </w:r>
      <w:r>
        <w:rPr>
          <w:b/>
          <w:bCs/>
          <w:i/>
          <w:iCs/>
          <w:color w:val="000000"/>
          <w:sz w:val="24"/>
          <w:szCs w:val="24"/>
          <w:vertAlign w:val="superscript"/>
        </w:rPr>
        <w:t>2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ведущий научный сотрудник</w:t>
      </w:r>
      <w:proofErr w:type="gramStart"/>
      <w:r>
        <w:rPr>
          <w:i/>
          <w:iCs/>
          <w:color w:val="000000"/>
          <w:sz w:val="24"/>
          <w:szCs w:val="24"/>
          <w:vertAlign w:val="superscript"/>
        </w:rPr>
        <w:t>2</w:t>
      </w:r>
      <w:proofErr w:type="gramEnd"/>
      <w:r>
        <w:rPr>
          <w:i/>
          <w:iCs/>
          <w:color w:val="000000"/>
          <w:sz w:val="24"/>
          <w:szCs w:val="24"/>
        </w:rPr>
        <w:t>, доктор физико-математических наук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  <w:vertAlign w:val="superscript"/>
        </w:rPr>
        <w:t>1</w:t>
      </w:r>
      <w:r>
        <w:rPr>
          <w:i/>
          <w:iCs/>
          <w:color w:val="000000"/>
          <w:sz w:val="24"/>
          <w:szCs w:val="24"/>
        </w:rPr>
        <w:t>Московский государственный университет им. М.В.Ломоносова, физический факультет, Москва, Россия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  <w:vertAlign w:val="superscript"/>
        </w:rPr>
        <w:t>2</w:t>
      </w:r>
      <w:r>
        <w:rPr>
          <w:i/>
          <w:iCs/>
          <w:color w:val="000000"/>
          <w:sz w:val="24"/>
          <w:szCs w:val="24"/>
        </w:rPr>
        <w:t>Московский государственный университет им. М. В. Ломоносова,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Государственный астрономический институт им. П. К. </w:t>
      </w:r>
      <w:proofErr w:type="spellStart"/>
      <w:r>
        <w:rPr>
          <w:i/>
          <w:iCs/>
          <w:color w:val="000000"/>
          <w:sz w:val="24"/>
          <w:szCs w:val="24"/>
        </w:rPr>
        <w:t>Штернберга</w:t>
      </w:r>
      <w:proofErr w:type="spellEnd"/>
      <w:r>
        <w:rPr>
          <w:i/>
          <w:iCs/>
          <w:color w:val="000000"/>
          <w:sz w:val="24"/>
          <w:szCs w:val="24"/>
        </w:rPr>
        <w:t>, Москва, Россия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i/>
          <w:iCs/>
          <w:color w:val="000000"/>
          <w:sz w:val="24"/>
          <w:szCs w:val="24"/>
          <w:vertAlign w:val="superscript"/>
        </w:rPr>
        <w:t>1</w:t>
      </w:r>
      <w:r>
        <w:rPr>
          <w:i/>
          <w:iCs/>
          <w:color w:val="000000"/>
          <w:sz w:val="24"/>
          <w:szCs w:val="24"/>
        </w:rPr>
        <w:t>lxyniti@gmail.com</w:t>
      </w:r>
    </w:p>
    <w:p w:rsidR="00791580" w:rsidRDefault="0079158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400"/>
        <w:ind w:firstLine="397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Работа посвящена результатам разработки метода поиска проходимых кротовых нор (КН) на основе анализа рядов лучевых скоростей наблюдаемой звезды в двойных системах, содержащих компактный объект – кандидат в КН. Сам по</w:t>
      </w:r>
      <w:r>
        <w:rPr>
          <w:sz w:val="24"/>
          <w:szCs w:val="24"/>
        </w:rPr>
        <w:t>иск проходимых КН приобрел особую актуальность в свете данных космологического проекта DESI, указывающего на возможность существования фантомной энергии в нашей Вселенной, которая в свою очередь может выступать в роли экзотического</w:t>
      </w:r>
      <w:r w:rsidR="00C73D33">
        <w:rPr>
          <w:sz w:val="24"/>
          <w:szCs w:val="24"/>
        </w:rPr>
        <w:t xml:space="preserve"> вещества для</w:t>
      </w:r>
      <w:proofErr w:type="gramEnd"/>
      <w:r w:rsidR="00C73D33">
        <w:rPr>
          <w:sz w:val="24"/>
          <w:szCs w:val="24"/>
        </w:rPr>
        <w:t xml:space="preserve"> стабилизации КН [4</w:t>
      </w:r>
      <w:r>
        <w:rPr>
          <w:sz w:val="24"/>
          <w:szCs w:val="24"/>
        </w:rPr>
        <w:t>].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400"/>
        <w:ind w:firstLine="39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Массивные объекты, находящиеся по ту сторону горловины КН (сторона 2), должны оказывать влияние на объекты, находящиеся по эту сторону горловины (сторона 1), т. е. где расположен наблюдатель [</w:t>
      </w:r>
      <w:r w:rsidR="00C73D33"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]. В работе [1] показано, что вызываемое возмущающим объектом на стороне 2 ускорение наблюдаемой звезды в системе типа </w:t>
      </w:r>
      <w:proofErr w:type="spellStart"/>
      <w:r>
        <w:rPr>
          <w:color w:val="000000"/>
          <w:sz w:val="24"/>
          <w:szCs w:val="24"/>
        </w:rPr>
        <w:t>Gaia</w:t>
      </w:r>
      <w:proofErr w:type="spellEnd"/>
      <w:r>
        <w:rPr>
          <w:color w:val="000000"/>
          <w:sz w:val="24"/>
          <w:szCs w:val="24"/>
        </w:rPr>
        <w:t xml:space="preserve"> BH1, может быть сравнимо с современными наблюдательными </w:t>
      </w:r>
      <w:proofErr w:type="gramStart"/>
      <w:r>
        <w:rPr>
          <w:color w:val="000000"/>
          <w:sz w:val="24"/>
          <w:szCs w:val="24"/>
        </w:rPr>
        <w:t>ограничениями</w:t>
      </w:r>
      <w:proofErr w:type="gramEnd"/>
      <w:r>
        <w:rPr>
          <w:color w:val="000000"/>
          <w:sz w:val="24"/>
          <w:szCs w:val="24"/>
        </w:rPr>
        <w:t xml:space="preserve"> и доминирует над конкурирующими эффектами.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400"/>
        <w:ind w:firstLine="39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Математическая модель основана на представлении гравитационного воздействия возмущающего объекта в виде импульсов ускорения, которые наблюдаемая звезда испытывает вблизи перицентра своей орбиты. Возмущение скорости, аккумулируемое звездой на стороне 1 за время импульса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pulse</m:t>
            </m:r>
          </m:sub>
        </m:sSub>
        <m:r>
          <w:rPr>
            <w:color w:val="000000"/>
            <w:sz w:val="24"/>
            <w:szCs w:val="24"/>
          </w:rPr>
          <m:t>,</m:t>
        </m:r>
      </m:oMath>
      <w:r>
        <w:rPr>
          <w:color w:val="000000"/>
          <w:sz w:val="24"/>
          <w:szCs w:val="24"/>
        </w:rPr>
        <w:t xml:space="preserve"> зависит от параметров орбиты возмущающего тела и радиального расстояния наблюдаемой звезды:</w:t>
      </w:r>
    </w:p>
    <w:p w:rsidR="00791580" w:rsidRDefault="00634EAE">
      <w:pPr>
        <w:pStyle w:val="normal"/>
        <w:jc w:val="center"/>
        <w:rPr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Δv∼</m:t>
          </m:r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τ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pulse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Δa</m:t>
          </m:r>
          <m:r>
            <w:rPr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color w:val="000000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π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G</m:t>
                  </m:r>
                </m:e>
                <m:sup>
                  <m:r>
                    <w:rPr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color w:val="000000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color w:val="000000"/>
                      <w:sz w:val="24"/>
                      <w:szCs w:val="24"/>
                    </w:rPr>
                    <m:t>2</m:t>
                  </m:r>
                </m:sup>
              </m:sSubSup>
            </m:den>
          </m:f>
          <m:rad>
            <m:radPr>
              <m:degHide m:val="on"/>
              <m:ctrlPr>
                <w:rPr>
                  <w:rFonts w:ascii="Cambria Math" w:hAnsi="Cambria Math"/>
                  <w:color w:val="000000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color w:val="000000"/>
                          <w:sz w:val="24"/>
                          <w:szCs w:val="24"/>
                        </w:rPr>
                        <m:t>2</m:t>
                      </m:r>
                    </m:sub>
                    <m:sup>
                      <m:r>
                        <w:rPr>
                          <w:color w:val="000000"/>
                          <w:sz w:val="24"/>
                          <w:szCs w:val="24"/>
                        </w:rPr>
                        <m:t>3</m:t>
                      </m:r>
                    </m:sup>
                  </m:sSubSup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G</m:t>
                  </m:r>
                  <m:r>
                    <w:rPr>
                      <w:color w:val="000000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M</m:t>
                  </m:r>
                  <m:r>
                    <w:rPr>
                      <w:color w:val="000000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color w:val="000000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color w:val="000000"/>
                      <w:sz w:val="24"/>
                      <w:szCs w:val="24"/>
                    </w:rPr>
                    <m:t>)</m:t>
                  </m:r>
                </m:den>
              </m:f>
            </m:e>
          </m:rad>
          <m:sSup>
            <m:sSupPr>
              <m:ctrlPr>
                <w:rPr>
                  <w:rFonts w:ascii="Cambria Math" w:hAnsi="Cambria Math"/>
                  <w:color w:val="000000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2p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color w:val="000000"/>
                  <w:sz w:val="24"/>
                  <w:szCs w:val="24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color w:val="000000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color w:val="000000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p</m:t>
                      </m:r>
                    </m:sub>
                  </m:sSub>
                </m:den>
              </m:f>
              <m:r>
                <w:rPr>
                  <w:color w:val="000000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color w:val="000000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a</m:t>
                      </m:r>
                    </m:sub>
                  </m:sSub>
                </m:den>
              </m:f>
            </m:e>
          </m:d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≡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C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color w:val="000000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color w:val="000000"/>
                      <w:sz w:val="24"/>
                      <w:szCs w:val="24"/>
                    </w:rPr>
                    <m:t>2</m:t>
                  </m:r>
                </m:sup>
              </m:sSubSup>
            </m:den>
          </m:f>
          <m:r>
            <w:rPr>
              <w:color w:val="000000"/>
              <w:sz w:val="24"/>
              <w:szCs w:val="24"/>
            </w:rPr>
            <m:t>,</m:t>
          </m:r>
        </m:oMath>
      </m:oMathPara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4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где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M</m:t>
        </m:r>
      </m:oMath>
      <w:r>
        <w:rPr>
          <w:color w:val="000000"/>
          <w:sz w:val="24"/>
          <w:szCs w:val="24"/>
        </w:rPr>
        <w:t xml:space="preserve"> — масса КН, </w:t>
      </w:r>
      <m:oMath>
        <m:sSub>
          <m:sSubPr>
            <m:ctrlPr>
              <w:rPr>
                <w:rFonts w:ascii="Cambria Math" w:hAnsi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m</m:t>
            </m:r>
          </m:e>
          <m:sub>
            <m:r>
              <w:rPr>
                <w:color w:val="000000"/>
                <w:sz w:val="24"/>
                <w:szCs w:val="24"/>
              </w:rPr>
              <m:t>2</m:t>
            </m:r>
          </m:sub>
        </m:sSub>
      </m:oMath>
      <w:r>
        <w:rPr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A</m:t>
            </m:r>
          </m:e>
          <m:sub>
            <m:r>
              <w:rPr>
                <w:color w:val="000000"/>
                <w:sz w:val="24"/>
                <w:szCs w:val="24"/>
              </w:rPr>
              <m:t>2</m:t>
            </m:r>
          </m:sub>
        </m:sSub>
      </m:oMath>
      <w:r>
        <w:rPr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color w:val="000000"/>
                <w:sz w:val="24"/>
                <w:szCs w:val="24"/>
              </w:rPr>
              <m:t>2</m:t>
            </m:r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p</m:t>
            </m:r>
          </m:sub>
        </m:sSub>
      </m:oMath>
      <w:r>
        <w:rPr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color w:val="000000"/>
                <w:sz w:val="24"/>
                <w:szCs w:val="24"/>
              </w:rPr>
              <m:t>2</m:t>
            </m:r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a</m:t>
            </m:r>
          </m:sub>
        </m:sSub>
      </m:oMath>
      <w:r>
        <w:rPr>
          <w:color w:val="000000"/>
          <w:sz w:val="24"/>
          <w:szCs w:val="24"/>
        </w:rPr>
        <w:t xml:space="preserve"> – масса, большая полуось и расстояния в перицентре/апоцентре орбиты возмущающего объекта, </w:t>
      </w:r>
      <m:oMath>
        <m:sSub>
          <m:sSubPr>
            <m:ctrlPr>
              <w:rPr>
                <w:rFonts w:ascii="Cambria Math" w:hAnsi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color w:val="000000"/>
                <w:sz w:val="24"/>
                <w:szCs w:val="24"/>
              </w:rPr>
              <m:t>1</m:t>
            </m:r>
          </m:sub>
        </m:sSub>
      </m:oMath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текущий радиус орбиты наблюдаемой звезды,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Δa</m:t>
        </m:r>
      </m:oMath>
      <w:r>
        <w:rPr>
          <w:color w:val="000000"/>
          <w:sz w:val="24"/>
          <w:szCs w:val="24"/>
        </w:rPr>
        <w:t xml:space="preserve"> – величина возмущающего ускорения.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400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Ключевое наблюдаемое следствие – нарастающее со временем расхождение между наблюдаемой лучевой скоростью и ожидаемой скоростью на </w:t>
      </w:r>
      <w:proofErr w:type="spellStart"/>
      <w:r>
        <w:rPr>
          <w:color w:val="000000"/>
          <w:sz w:val="24"/>
          <w:szCs w:val="24"/>
        </w:rPr>
        <w:t>кеплеровской</w:t>
      </w:r>
      <w:proofErr w:type="spellEnd"/>
      <w:r>
        <w:rPr>
          <w:color w:val="000000"/>
          <w:sz w:val="24"/>
          <w:szCs w:val="24"/>
        </w:rPr>
        <w:t xml:space="preserve"> орбите</w:t>
      </w:r>
      <w:proofErr w:type="gramStart"/>
      <w:r>
        <w:rPr>
          <w:color w:val="000000"/>
          <w:sz w:val="24"/>
          <w:szCs w:val="24"/>
        </w:rPr>
        <w:t xml:space="preserve">: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r</m:t>
        </m:r>
        <m:r>
          <w:rPr>
            <w:color w:val="000000"/>
            <w:sz w:val="24"/>
            <w:szCs w:val="24"/>
          </w:rPr>
          <m:t>(</m:t>
        </m:r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t</m:t>
        </m:r>
        <m:r>
          <w:rPr>
            <w:color w:val="000000"/>
            <w:sz w:val="24"/>
            <w:szCs w:val="24"/>
          </w:rPr>
          <m:t>)=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LoS</m:t>
            </m:r>
          </m:sub>
        </m:sSub>
        <m:r>
          <w:rPr>
            <w:color w:val="000000"/>
            <w:sz w:val="24"/>
            <w:szCs w:val="24"/>
          </w:rPr>
          <m:t>(</m:t>
        </m:r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t</m:t>
        </m:r>
        <m:r>
          <w:rPr>
            <w:color w:val="000000"/>
            <w:sz w:val="24"/>
            <w:szCs w:val="24"/>
          </w:rPr>
          <m:t>)-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kepl</m:t>
            </m:r>
          </m:sub>
        </m:sSub>
        <m:r>
          <w:rPr>
            <w:color w:val="000000"/>
            <w:sz w:val="24"/>
            <w:szCs w:val="24"/>
          </w:rPr>
          <m:t>(</m:t>
        </m:r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t</m:t>
        </m:r>
        <m:r>
          <w:rPr>
            <w:color w:val="000000"/>
            <w:sz w:val="24"/>
            <w:szCs w:val="24"/>
          </w:rPr>
          <m:t>)</m:t>
        </m:r>
      </m:oMath>
      <w:r>
        <w:rPr>
          <w:color w:val="000000"/>
          <w:sz w:val="24"/>
          <w:szCs w:val="24"/>
        </w:rPr>
        <w:t xml:space="preserve">. </w:t>
      </w:r>
      <w:proofErr w:type="gramEnd"/>
      <w:r>
        <w:rPr>
          <w:color w:val="000000"/>
          <w:sz w:val="24"/>
          <w:szCs w:val="24"/>
        </w:rPr>
        <w:t>Основной вклад в этот остаток вносит не сам импульс, а накапливаемое смещение момента прохождения перицентра – уменьшение орбитального периода, обусловленное переданным импульсом.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400"/>
        <w:ind w:firstLine="39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Поскольку ожидаемый импульсный характер такого возмущения имеет уникальную структуру, для поиска такого сигнала в настоящей работе была предложена техника </w:t>
      </w:r>
      <w:proofErr w:type="spellStart"/>
      <w:r>
        <w:rPr>
          <w:i/>
          <w:iCs/>
          <w:color w:val="000000"/>
          <w:sz w:val="24"/>
          <w:szCs w:val="24"/>
        </w:rPr>
        <w:t>matched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filtering</w:t>
      </w:r>
      <w:proofErr w:type="spellEnd"/>
      <w:r>
        <w:rPr>
          <w:color w:val="000000"/>
          <w:sz w:val="24"/>
          <w:szCs w:val="24"/>
        </w:rPr>
        <w:t xml:space="preserve">, хорошо известная из гравитационно-волновой астрономии </w:t>
      </w:r>
      <w:r>
        <w:rPr>
          <w:sz w:val="24"/>
          <w:szCs w:val="24"/>
        </w:rPr>
        <w:t>[</w:t>
      </w:r>
      <w:r w:rsidR="00C73D33"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]. </w:t>
      </w:r>
      <w:r>
        <w:rPr>
          <w:color w:val="000000"/>
          <w:sz w:val="24"/>
          <w:szCs w:val="24"/>
        </w:rPr>
        <w:lastRenderedPageBreak/>
        <w:t>Построен нормированный шаблон возмущения</w:t>
      </w:r>
      <w:proofErr w:type="gramStart"/>
      <w:r>
        <w:rPr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u</m:t>
        </m:r>
        <m:r>
          <w:rPr>
            <w:color w:val="000000"/>
            <w:sz w:val="24"/>
            <w:szCs w:val="24"/>
          </w:rPr>
          <m:t>(</m:t>
        </m:r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t</m:t>
        </m:r>
        <m:r>
          <w:rPr>
            <w:color w:val="000000"/>
            <w:sz w:val="24"/>
            <w:szCs w:val="24"/>
          </w:rPr>
          <m:t>)</m:t>
        </m:r>
      </m:oMath>
      <w:r>
        <w:rPr>
          <w:color w:val="000000"/>
          <w:sz w:val="24"/>
          <w:szCs w:val="24"/>
        </w:rPr>
        <w:t xml:space="preserve"> – </w:t>
      </w:r>
      <w:proofErr w:type="gramEnd"/>
      <w:r>
        <w:rPr>
          <w:color w:val="000000"/>
          <w:sz w:val="24"/>
          <w:szCs w:val="24"/>
        </w:rPr>
        <w:t>последовательность усредненных нормированных импульсов с а</w:t>
      </w:r>
      <w:proofErr w:type="spellStart"/>
      <w:r>
        <w:rPr>
          <w:color w:val="000000"/>
          <w:sz w:val="24"/>
          <w:szCs w:val="24"/>
        </w:rPr>
        <w:t>мплитудой</w:t>
      </w:r>
      <w:proofErr w:type="spellEnd"/>
      <w:r>
        <w:rPr>
          <w:color w:val="000000"/>
          <w:sz w:val="24"/>
          <w:szCs w:val="24"/>
        </w:rPr>
        <w:t xml:space="preserve"> </w:t>
      </w:r>
      <m:oMath>
        <m:r>
          <m:t>∼</m:t>
        </m:r>
        <m:f>
          <m:fPr>
            <m:ctrlPr>
              <w:rPr>
                <w:rFonts w:ascii="Cambria Math" w:hAnsi="Cambria Math"/>
                <w:color w:val="000000"/>
                <w:sz w:val="24"/>
                <w:szCs w:val="24"/>
              </w:rPr>
            </m:ctrlPr>
          </m:fPr>
          <m:num>
            <m:r>
              <w:rPr>
                <w:color w:val="000000"/>
                <w:sz w:val="24"/>
                <w:szCs w:val="24"/>
              </w:rPr>
              <m:t>1</m:t>
            </m:r>
          </m:num>
          <m:den>
            <m:sSubSup>
              <m:sSubSupPr>
                <m:ctrlPr>
                  <w:rPr>
                    <w:rFonts w:ascii="Cambria Math" w:hAnsi="Cambria Math"/>
                    <w:color w:val="000000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color w:val="000000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color w:val="000000"/>
                    <w:sz w:val="24"/>
                    <w:szCs w:val="24"/>
                  </w:rPr>
                  <m:t>2</m:t>
                </m:r>
              </m:sup>
            </m:sSubSup>
            <m:r>
              <w:rPr>
                <w:color w:val="000000"/>
                <w:sz w:val="24"/>
                <w:szCs w:val="24"/>
              </w:rPr>
              <m:t>(</m:t>
            </m:r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  <m:r>
              <w:rPr>
                <w:color w:val="000000"/>
                <w:sz w:val="24"/>
                <w:szCs w:val="24"/>
              </w:rPr>
              <m:t>)</m:t>
            </m:r>
          </m:den>
        </m:f>
      </m:oMath>
      <w:r>
        <w:rPr>
          <w:color w:val="000000"/>
          <w:sz w:val="24"/>
          <w:szCs w:val="24"/>
        </w:rPr>
        <w:t>. Отношение сигнал-шум определяется как</w:t>
      </w:r>
    </w:p>
    <w:p w:rsidR="00791580" w:rsidRDefault="00634EAE">
      <w:pPr>
        <w:pStyle w:val="normal"/>
        <w:jc w:val="center"/>
        <w:rPr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SNR</m:t>
          </m:r>
          <m:sSub>
            <m:sSubPr>
              <m:ctrlPr>
                <w:rPr>
                  <w:rFonts w:ascii="Cambria Math" w:hAnsi="Cambria Math"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(t</m:t>
              </m:r>
            </m:e>
            <m:sub>
              <m:r>
                <w:rPr>
                  <w:color w:val="000000"/>
                  <w:sz w:val="24"/>
                  <w:szCs w:val="24"/>
                </w:rPr>
                <m:t>0</m:t>
              </m:r>
            </m:sub>
          </m:sSub>
          <m:r>
            <w:rPr>
              <w:color w:val="000000"/>
              <w:sz w:val="24"/>
              <w:szCs w:val="24"/>
            </w:rPr>
            <m:t>)=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nary>
                <m:nary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naryPr>
                <m:sub>
                  <m:r>
                    <w:rPr>
                      <w:color w:val="000000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color w:val="000000"/>
                      <w:sz w:val="24"/>
                      <w:szCs w:val="24"/>
                    </w:rPr>
                    <m:t>∞</m:t>
                  </m:r>
                </m:sup>
                <m:e/>
              </m:nary>
              <m:f>
                <m:f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r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f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  <m:sup>
                      <m:r>
                        <w:rPr>
                          <w:color w:val="000000"/>
                          <w:sz w:val="24"/>
                          <w:szCs w:val="24"/>
                        </w:rPr>
                        <m:t>*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(f</m:t>
                  </m:r>
                  <m:r>
                    <w:rPr>
                      <w:color w:val="000000"/>
                      <w:sz w:val="24"/>
                      <w:szCs w:val="24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n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(f</m:t>
                  </m:r>
                  <m:r>
                    <w:rPr>
                      <w:color w:val="000000"/>
                      <w:sz w:val="24"/>
                      <w:szCs w:val="24"/>
                    </w:rPr>
                    <m:t>)</m:t>
                  </m:r>
                </m:den>
              </m:f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color w:val="000000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πif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df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ctrl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</m:ctrlPr>
                        </m:naryPr>
                        <m:sub>
                          <m:r>
                            <w:rPr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color w:val="000000"/>
                              <w:sz w:val="24"/>
                              <w:szCs w:val="24"/>
                            </w:rPr>
                            <m:t>∞</m:t>
                          </m:r>
                        </m:sup>
                        <m:e/>
                      </m:nary>
                      <m:f>
                        <m:fPr>
                          <m:ctrl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|u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m:t>|</m:t>
                              </m:r>
                            </m:e>
                            <m:sup>
                              <m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(f</m:t>
                          </m:r>
                          <m:r>
                            <w:rPr>
                              <w:color w:val="000000"/>
                              <w:sz w:val="24"/>
                              <w:szCs w:val="24"/>
                            </w:rPr>
                            <m:t>)</m:t>
                          </m:r>
                        </m:den>
                      </m:f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df</m:t>
                      </m:r>
                    </m:e>
                  </m:d>
                </m:e>
                <m:sup>
                  <m:r>
                    <w:rPr>
                      <w:color w:val="000000"/>
                      <w:sz w:val="24"/>
                      <w:szCs w:val="24"/>
                    </w:rPr>
                    <m:t>1/2</m:t>
                  </m:r>
                </m:sup>
              </m:sSup>
            </m:den>
          </m:f>
        </m:oMath>
      </m:oMathPara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400"/>
        <w:ind w:firstLine="39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где</w:t>
      </w:r>
      <w:proofErr w:type="gramStart"/>
      <w:r>
        <w:rPr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n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(f</m:t>
        </m:r>
        <m:r>
          <w:rPr>
            <w:color w:val="000000"/>
            <w:sz w:val="24"/>
            <w:szCs w:val="24"/>
          </w:rPr>
          <m:t>)</m:t>
        </m:r>
      </m:oMath>
      <w:r w:rsidR="00C73D33">
        <w:rPr>
          <w:color w:val="000000"/>
          <w:sz w:val="24"/>
          <w:szCs w:val="24"/>
        </w:rPr>
        <w:t xml:space="preserve"> - </w:t>
      </w:r>
      <w:proofErr w:type="gramEnd"/>
      <w:r>
        <w:rPr>
          <w:color w:val="000000"/>
          <w:sz w:val="24"/>
          <w:szCs w:val="24"/>
        </w:rPr>
        <w:t>спектральная плотность мощности шума измерений лучевой скорости.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400"/>
        <w:ind w:firstLine="39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Численное моделирование, выполненное на синтетических системах с параметрами, соответствующими системе </w:t>
      </w:r>
      <w:proofErr w:type="spellStart"/>
      <w:r>
        <w:rPr>
          <w:color w:val="000000"/>
          <w:sz w:val="24"/>
          <w:szCs w:val="24"/>
        </w:rPr>
        <w:t>Gaia</w:t>
      </w:r>
      <w:proofErr w:type="spellEnd"/>
      <w:r>
        <w:rPr>
          <w:color w:val="000000"/>
          <w:sz w:val="24"/>
          <w:szCs w:val="24"/>
        </w:rPr>
        <w:t xml:space="preserve"> BH1, показало, что </w:t>
      </w:r>
      <w:proofErr w:type="spellStart"/>
      <w:r>
        <w:rPr>
          <w:color w:val="000000"/>
          <w:sz w:val="24"/>
          <w:szCs w:val="24"/>
        </w:rPr>
        <w:t>matched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filtering</w:t>
      </w:r>
      <w:proofErr w:type="spellEnd"/>
      <w:r>
        <w:rPr>
          <w:color w:val="000000"/>
          <w:sz w:val="24"/>
          <w:szCs w:val="24"/>
        </w:rPr>
        <w:t xml:space="preserve"> устойчиво выделяет сигнал возмущения на фоне шума </w:t>
      </w:r>
      <m:oMath>
        <m:r>
          <m:t>±</m:t>
        </m:r>
        <m:r>
          <w:rPr>
            <w:color w:val="000000"/>
            <w:sz w:val="24"/>
            <w:szCs w:val="24"/>
          </w:rPr>
          <m:t>0.5÷1</m:t>
        </m:r>
      </m:oMath>
      <w:r>
        <w:rPr>
          <w:color w:val="000000"/>
          <w:sz w:val="24"/>
          <w:szCs w:val="24"/>
        </w:rPr>
        <w:t xml:space="preserve"> км/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 xml:space="preserve"> даже при 50 </w:t>
      </w:r>
      <w:proofErr w:type="gramStart"/>
      <w:r>
        <w:rPr>
          <w:color w:val="000000"/>
          <w:sz w:val="24"/>
          <w:szCs w:val="24"/>
        </w:rPr>
        <w:t>наблюдениях</w:t>
      </w:r>
      <w:proofErr w:type="gramEnd"/>
      <w:r>
        <w:rPr>
          <w:color w:val="000000"/>
          <w:sz w:val="24"/>
          <w:szCs w:val="24"/>
        </w:rPr>
        <w:t xml:space="preserve"> в год на интервалах наблюдений 10-15 лет. По введенной интегральной статистике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Z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obs</m:t>
            </m:r>
          </m:sub>
        </m:sSub>
        <m:r>
          <w:rPr>
            <w:color w:val="000000"/>
            <w:sz w:val="24"/>
            <w:szCs w:val="24"/>
          </w:rPr>
          <m:t>=</m:t>
        </m:r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S</m:t>
        </m:r>
        <m:r>
          <w:rPr>
            <w:color w:val="000000"/>
            <w:sz w:val="24"/>
            <w:szCs w:val="24"/>
          </w:rPr>
          <m:t>/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σ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robust</m:t>
            </m:r>
          </m:sub>
        </m:sSub>
      </m:oMath>
      <w:r>
        <w:rPr>
          <w:color w:val="000000"/>
          <w:sz w:val="24"/>
          <w:szCs w:val="24"/>
        </w:rPr>
        <w:t>, оценена эффективность наблюдательных стратегий с различной продолжительностью и скважностью наблюдений.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400"/>
        <w:ind w:firstLine="39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Дополнительно произведен спектральный анализ остатков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r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:</m:t>
        </m:r>
      </m:oMath>
      <w:r>
        <w:rPr>
          <w:color w:val="000000"/>
          <w:sz w:val="24"/>
          <w:szCs w:val="24"/>
        </w:rPr>
        <w:t xml:space="preserve"> периодограмма Ломба выявляет гармоники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k/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orb</m:t>
            </m:r>
          </m:sub>
        </m:sSub>
      </m:oMath>
      <w:r>
        <w:rPr>
          <w:color w:val="000000"/>
          <w:sz w:val="24"/>
          <w:szCs w:val="24"/>
        </w:rPr>
        <w:t>, отвечающие смещению перицентра, даже на коротких интервалах наблюдений. Статистика Аббе–Лафлера–Кинмана также оказывается эффективным инструментом для обнаружения искомого эффекта.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400"/>
        <w:ind w:firstLine="39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Таким образом, предложенная методика является реалистичным инструментом для наблюдательного поиска КН в известных широких двойных системах, содержащих компактный объект и наблюдаемый компонент, при наличии многолетних рядов лучевых скоростей.</w:t>
      </w:r>
    </w:p>
    <w:p w:rsidR="00791580" w:rsidRDefault="00634EA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Литература</w:t>
      </w:r>
    </w:p>
    <w:p w:rsidR="00791580" w:rsidRDefault="0079158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</w:p>
    <w:p w:rsidR="00791580" w:rsidRPr="00C73D33" w:rsidRDefault="00634EAE" w:rsidP="00C73D33">
      <w:pPr>
        <w:pStyle w:val="normal"/>
        <w:pBdr>
          <w:top w:val="nil"/>
          <w:left w:val="nil"/>
          <w:bottom w:val="nil"/>
          <w:right w:val="nil"/>
          <w:between w:val="nil"/>
        </w:pBdr>
        <w:ind w:right="1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Моисеев Ю. А., Сажина О. С. Методы и перспективы наблюдательного поиска кротовых нор в астрофизических системах / Журнал экспериментальной и теоретической физики. – 2025. – Т. 167. – №. </w:t>
      </w:r>
      <w:r w:rsidRPr="00634EAE">
        <w:rPr>
          <w:color w:val="000000"/>
          <w:sz w:val="24"/>
          <w:szCs w:val="24"/>
          <w:lang w:val="en-US"/>
        </w:rPr>
        <w:t xml:space="preserve">2. – </w:t>
      </w:r>
      <w:r>
        <w:rPr>
          <w:color w:val="000000"/>
          <w:sz w:val="24"/>
          <w:szCs w:val="24"/>
        </w:rPr>
        <w:t>С</w:t>
      </w:r>
      <w:r w:rsidRPr="00634EAE">
        <w:rPr>
          <w:color w:val="000000"/>
          <w:sz w:val="24"/>
          <w:szCs w:val="24"/>
          <w:lang w:val="en-US"/>
        </w:rPr>
        <w:t>. 205-219.</w:t>
      </w:r>
    </w:p>
    <w:p w:rsidR="00791580" w:rsidRPr="00634EAE" w:rsidRDefault="00C73D3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  <w:r>
        <w:rPr>
          <w:sz w:val="24"/>
          <w:szCs w:val="24"/>
        </w:rPr>
        <w:t>2</w:t>
      </w:r>
      <w:r w:rsidR="00634EAE" w:rsidRPr="00634EAE">
        <w:rPr>
          <w:color w:val="000000"/>
          <w:sz w:val="24"/>
          <w:szCs w:val="24"/>
          <w:lang w:val="en-US"/>
        </w:rPr>
        <w:t xml:space="preserve">. Allen B. et al. FINDCHIRP: An algorithm for detection of gravitational waves from </w:t>
      </w:r>
      <w:proofErr w:type="spellStart"/>
      <w:r w:rsidR="00634EAE" w:rsidRPr="00634EAE">
        <w:rPr>
          <w:color w:val="000000"/>
          <w:sz w:val="24"/>
          <w:szCs w:val="24"/>
          <w:lang w:val="en-US"/>
        </w:rPr>
        <w:t>inspiraling</w:t>
      </w:r>
      <w:proofErr w:type="spellEnd"/>
      <w:r w:rsidR="00634EAE" w:rsidRPr="00634EAE">
        <w:rPr>
          <w:color w:val="000000"/>
          <w:sz w:val="24"/>
          <w:szCs w:val="24"/>
          <w:lang w:val="en-US"/>
        </w:rPr>
        <w:t xml:space="preserve"> compact binaries / Physical Review D—Particles, Fields, Gravitation, and Cosmology. – 2012. </w:t>
      </w:r>
      <w:proofErr w:type="gramStart"/>
      <w:r w:rsidR="00634EAE" w:rsidRPr="00634EAE">
        <w:rPr>
          <w:color w:val="000000"/>
          <w:sz w:val="24"/>
          <w:szCs w:val="24"/>
          <w:lang w:val="en-US"/>
        </w:rPr>
        <w:t xml:space="preserve">– </w:t>
      </w:r>
      <w:r w:rsidR="00634EAE">
        <w:rPr>
          <w:color w:val="000000"/>
          <w:sz w:val="24"/>
          <w:szCs w:val="24"/>
        </w:rPr>
        <w:t>Т</w:t>
      </w:r>
      <w:r w:rsidR="00634EAE" w:rsidRPr="00634EAE">
        <w:rPr>
          <w:color w:val="000000"/>
          <w:sz w:val="24"/>
          <w:szCs w:val="24"/>
          <w:lang w:val="en-US"/>
        </w:rPr>
        <w:t>. 85.</w:t>
      </w:r>
      <w:proofErr w:type="gramEnd"/>
      <w:r w:rsidR="00634EAE" w:rsidRPr="00634EAE">
        <w:rPr>
          <w:color w:val="000000"/>
          <w:sz w:val="24"/>
          <w:szCs w:val="24"/>
          <w:lang w:val="en-US"/>
        </w:rPr>
        <w:t xml:space="preserve"> – №. 12. – </w:t>
      </w:r>
      <w:r w:rsidR="00634EAE">
        <w:rPr>
          <w:color w:val="000000"/>
          <w:sz w:val="24"/>
          <w:szCs w:val="24"/>
        </w:rPr>
        <w:t>С</w:t>
      </w:r>
      <w:r w:rsidR="00634EAE" w:rsidRPr="00634EAE">
        <w:rPr>
          <w:color w:val="000000"/>
          <w:sz w:val="24"/>
          <w:szCs w:val="24"/>
          <w:lang w:val="en-US"/>
        </w:rPr>
        <w:t>. 122006.</w:t>
      </w:r>
    </w:p>
    <w:p w:rsidR="00791580" w:rsidRPr="00C73D33" w:rsidRDefault="00C73D3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  <w:r w:rsidRPr="00C73D33">
        <w:rPr>
          <w:sz w:val="24"/>
          <w:szCs w:val="24"/>
          <w:lang w:val="en-US"/>
        </w:rPr>
        <w:t>3</w:t>
      </w:r>
      <w:r w:rsidR="00634EAE" w:rsidRPr="00634EAE">
        <w:rPr>
          <w:color w:val="000000"/>
          <w:sz w:val="24"/>
          <w:szCs w:val="24"/>
          <w:lang w:val="en-US"/>
        </w:rPr>
        <w:t xml:space="preserve">. Dai D. C., </w:t>
      </w:r>
      <w:proofErr w:type="spellStart"/>
      <w:r w:rsidR="00634EAE" w:rsidRPr="00634EAE">
        <w:rPr>
          <w:color w:val="000000"/>
          <w:sz w:val="24"/>
          <w:szCs w:val="24"/>
          <w:lang w:val="en-US"/>
        </w:rPr>
        <w:t>Stojkovic</w:t>
      </w:r>
      <w:proofErr w:type="spellEnd"/>
      <w:r w:rsidR="00634EAE" w:rsidRPr="00634EAE">
        <w:rPr>
          <w:color w:val="000000"/>
          <w:sz w:val="24"/>
          <w:szCs w:val="24"/>
          <w:lang w:val="en-US"/>
        </w:rPr>
        <w:t xml:space="preserve"> D. Observing a wormhole / Physical Review D. – 2019. </w:t>
      </w:r>
      <w:proofErr w:type="gramStart"/>
      <w:r w:rsidR="00634EAE" w:rsidRPr="00634EAE">
        <w:rPr>
          <w:color w:val="000000"/>
          <w:sz w:val="24"/>
          <w:szCs w:val="24"/>
          <w:lang w:val="en-US"/>
        </w:rPr>
        <w:t xml:space="preserve">– </w:t>
      </w:r>
      <w:r w:rsidR="00634EAE">
        <w:rPr>
          <w:color w:val="000000"/>
          <w:sz w:val="24"/>
          <w:szCs w:val="24"/>
        </w:rPr>
        <w:t>Т</w:t>
      </w:r>
      <w:r w:rsidR="00634EAE" w:rsidRPr="00634EAE">
        <w:rPr>
          <w:color w:val="000000"/>
          <w:sz w:val="24"/>
          <w:szCs w:val="24"/>
          <w:lang w:val="en-US"/>
        </w:rPr>
        <w:t>. 100.</w:t>
      </w:r>
      <w:proofErr w:type="gramEnd"/>
      <w:r w:rsidR="00634EAE" w:rsidRPr="00634EAE">
        <w:rPr>
          <w:color w:val="000000"/>
          <w:sz w:val="24"/>
          <w:szCs w:val="24"/>
          <w:lang w:val="en-US"/>
        </w:rPr>
        <w:t xml:space="preserve"> – №. </w:t>
      </w:r>
      <w:r w:rsidR="00634EAE" w:rsidRPr="00C73D33">
        <w:rPr>
          <w:color w:val="000000"/>
          <w:sz w:val="24"/>
          <w:szCs w:val="24"/>
          <w:lang w:val="en-US"/>
        </w:rPr>
        <w:t xml:space="preserve">8. – </w:t>
      </w:r>
      <w:r w:rsidR="00634EAE">
        <w:rPr>
          <w:color w:val="000000"/>
          <w:sz w:val="24"/>
          <w:szCs w:val="24"/>
        </w:rPr>
        <w:t>С</w:t>
      </w:r>
      <w:r w:rsidR="00634EAE" w:rsidRPr="00C73D33">
        <w:rPr>
          <w:color w:val="000000"/>
          <w:sz w:val="24"/>
          <w:szCs w:val="24"/>
          <w:lang w:val="en-US"/>
        </w:rPr>
        <w:t>. 083513.</w:t>
      </w:r>
    </w:p>
    <w:p w:rsidR="00C73D33" w:rsidRPr="00C73D33" w:rsidRDefault="00C73D3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  <w:r w:rsidRPr="00C73D33">
        <w:rPr>
          <w:color w:val="000000"/>
          <w:sz w:val="24"/>
          <w:szCs w:val="24"/>
          <w:lang w:val="en-US"/>
        </w:rPr>
        <w:t xml:space="preserve">4. </w:t>
      </w:r>
      <w:proofErr w:type="spellStart"/>
      <w:r>
        <w:rPr>
          <w:sz w:val="24"/>
          <w:szCs w:val="24"/>
          <w:lang w:val="en-US"/>
        </w:rPr>
        <w:t>Moiseev</w:t>
      </w:r>
      <w:proofErr w:type="spellEnd"/>
      <w:r>
        <w:rPr>
          <w:sz w:val="24"/>
          <w:szCs w:val="24"/>
          <w:lang w:val="en-US"/>
        </w:rPr>
        <w:t xml:space="preserve"> I. A.</w:t>
      </w:r>
      <w:r w:rsidRPr="00634EAE">
        <w:rPr>
          <w:sz w:val="24"/>
          <w:szCs w:val="24"/>
          <w:lang w:val="en-US"/>
        </w:rPr>
        <w:t xml:space="preserve">, </w:t>
      </w:r>
      <w:proofErr w:type="spellStart"/>
      <w:r w:rsidRPr="00634EAE">
        <w:rPr>
          <w:sz w:val="24"/>
          <w:szCs w:val="24"/>
          <w:lang w:val="en-US"/>
        </w:rPr>
        <w:t>Sazhina</w:t>
      </w:r>
      <w:proofErr w:type="spellEnd"/>
      <w:r w:rsidRPr="00634EAE">
        <w:rPr>
          <w:sz w:val="24"/>
          <w:szCs w:val="24"/>
          <w:lang w:val="en-US"/>
        </w:rPr>
        <w:t xml:space="preserve"> O.</w:t>
      </w:r>
      <w:r>
        <w:rPr>
          <w:sz w:val="24"/>
          <w:szCs w:val="24"/>
          <w:lang w:val="en-US"/>
        </w:rPr>
        <w:t xml:space="preserve"> S.</w:t>
      </w:r>
      <w:r w:rsidRPr="00634EAE">
        <w:rPr>
          <w:sz w:val="24"/>
          <w:szCs w:val="24"/>
          <w:lang w:val="en-US"/>
        </w:rPr>
        <w:t xml:space="preserve"> Constraints on wormhole formation from phantom dark energy in DESI // </w:t>
      </w:r>
      <w:r>
        <w:rPr>
          <w:sz w:val="24"/>
          <w:szCs w:val="24"/>
        </w:rPr>
        <w:t>Журнал</w:t>
      </w:r>
      <w:r w:rsidRPr="00634EA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экспериментальной</w:t>
      </w:r>
      <w:r w:rsidRPr="00634EA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 w:rsidRPr="00634EA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теоретической</w:t>
      </w:r>
      <w:r w:rsidRPr="00634EA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физики</w:t>
      </w:r>
      <w:r w:rsidRPr="00634EAE">
        <w:rPr>
          <w:sz w:val="24"/>
          <w:szCs w:val="24"/>
          <w:lang w:val="en-US"/>
        </w:rPr>
        <w:t>. – 2025. – T. 168. – №.6 – C. 833-842</w:t>
      </w:r>
    </w:p>
    <w:sectPr w:rsidR="00C73D33" w:rsidRPr="00C73D33" w:rsidSect="00791580">
      <w:pgSz w:w="11906" w:h="16838"/>
      <w:pgMar w:top="1134" w:right="1361" w:bottom="1247" w:left="1361" w:header="1134" w:footer="125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964A596-81C7-4137-B153-0A85300A99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741EE9B-E380-474B-9B7F-5A6CC57EEEA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0E78B2-E49C-4506-B6D6-A02CE242EEE3}"/>
    <w:embedItalic r:id="rId4" w:fontKey="{F968F119-B570-4F71-BB6C-F862CB5616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E0896E5-DAF7-4891-B433-907D1520F7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F45C3B-2B24-42C2-8EB4-AEFCDACADE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791580"/>
    <w:rsid w:val="00026118"/>
    <w:rsid w:val="00634EAE"/>
    <w:rsid w:val="00791580"/>
    <w:rsid w:val="00C73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118"/>
  </w:style>
  <w:style w:type="paragraph" w:styleId="1">
    <w:name w:val="heading 1"/>
    <w:basedOn w:val="normal"/>
    <w:next w:val="normal"/>
    <w:rsid w:val="00791580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normal"/>
    <w:next w:val="normal"/>
    <w:rsid w:val="00791580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normal"/>
    <w:next w:val="normal"/>
    <w:rsid w:val="00791580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normal"/>
    <w:next w:val="normal"/>
    <w:rsid w:val="00791580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normal"/>
    <w:next w:val="normal"/>
    <w:rsid w:val="00791580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normal"/>
    <w:next w:val="normal"/>
    <w:rsid w:val="00791580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9158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91580"/>
  </w:style>
  <w:style w:type="paragraph" w:styleId="a3">
    <w:name w:val="Title"/>
    <w:basedOn w:val="normal"/>
    <w:next w:val="normal"/>
    <w:rsid w:val="00791580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table" w:customStyle="1" w:styleId="TableNormal0">
    <w:name w:val="TableNormal"/>
    <w:rsid w:val="00D3565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35652"/>
  </w:style>
  <w:style w:type="paragraph" w:customStyle="1" w:styleId="10">
    <w:name w:val="Строгий1"/>
    <w:basedOn w:val="normal0"/>
    <w:next w:val="normal0"/>
    <w:qFormat/>
    <w:rsid w:val="00D35652"/>
    <w:rPr>
      <w:b/>
      <w:bCs/>
    </w:rPr>
  </w:style>
  <w:style w:type="paragraph" w:styleId="a4">
    <w:name w:val="List Paragraph"/>
    <w:basedOn w:val="normal0"/>
    <w:qFormat/>
    <w:rsid w:val="00D35652"/>
  </w:style>
  <w:style w:type="character" w:styleId="a5">
    <w:name w:val="Hyperlink"/>
    <w:uiPriority w:val="99"/>
    <w:unhideWhenUsed/>
    <w:rsid w:val="00D35652"/>
    <w:rPr>
      <w:color w:val="0563C1"/>
      <w:u w:val="single"/>
    </w:rPr>
  </w:style>
  <w:style w:type="character" w:styleId="a6">
    <w:name w:val="footnote reference"/>
    <w:uiPriority w:val="99"/>
    <w:semiHidden/>
    <w:unhideWhenUsed/>
    <w:rsid w:val="00D35652"/>
    <w:rPr>
      <w:vertAlign w:val="superscript"/>
    </w:rPr>
  </w:style>
  <w:style w:type="paragraph" w:styleId="a7">
    <w:name w:val="footnote text"/>
    <w:basedOn w:val="normal0"/>
    <w:link w:val="a8"/>
    <w:uiPriority w:val="99"/>
    <w:semiHidden/>
    <w:unhideWhenUsed/>
    <w:rsid w:val="00D35652"/>
  </w:style>
  <w:style w:type="character" w:customStyle="1" w:styleId="a8">
    <w:name w:val="Текст сноски Знак"/>
    <w:link w:val="a7"/>
    <w:uiPriority w:val="99"/>
    <w:semiHidden/>
    <w:unhideWhenUsed/>
    <w:rsid w:val="00D35652"/>
    <w:rPr>
      <w:sz w:val="20"/>
      <w:szCs w:val="20"/>
    </w:rPr>
  </w:style>
  <w:style w:type="paragraph" w:styleId="a9">
    <w:name w:val="Balloon Text"/>
    <w:link w:val="aa"/>
    <w:uiPriority w:val="99"/>
    <w:semiHidden/>
    <w:unhideWhenUsed/>
    <w:rsid w:val="00651AF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1AFF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651AFF"/>
    <w:rPr>
      <w:color w:val="808080"/>
    </w:rPr>
  </w:style>
  <w:style w:type="paragraph" w:styleId="ac">
    <w:name w:val="Subtitle"/>
    <w:basedOn w:val="normal"/>
    <w:next w:val="normal"/>
    <w:rsid w:val="0079158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c1TbW6TfMzyPTf4hI5crd3nj4Q==">CgMxLjA4AHIhMWZlcWx0Q3p3MkhPRWMzQUJEaHJoeEJ4cW1WYWJZanFz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724</Words>
  <Characters>4130</Characters>
  <Application>Microsoft Office Word</Application>
  <DocSecurity>0</DocSecurity>
  <Lines>34</Lines>
  <Paragraphs>9</Paragraphs>
  <ScaleCrop>false</ScaleCrop>
  <Company/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Yniti lx</cp:lastModifiedBy>
  <cp:revision>2</cp:revision>
  <dcterms:created xsi:type="dcterms:W3CDTF">2026-03-02T09:03:00Z</dcterms:created>
  <dcterms:modified xsi:type="dcterms:W3CDTF">2026-03-02T09:03:00Z</dcterms:modified>
</cp:coreProperties>
</file>