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F1A18">
      <w:pPr>
        <w:spacing w:line="240" w:lineRule="auto"/>
        <w:jc w:val="center"/>
        <w:rPr>
          <w:rStyle w:val="6"/>
          <w:rFonts w:hint="default" w:ascii="Times New Roman" w:hAnsi="Times New Roman" w:eastAsia="Segoe UI" w:cs="Times New Roman"/>
          <w:b/>
          <w:bCs/>
          <w:i w:val="0"/>
          <w:iCs w:val="0"/>
          <w:color w:val="0F1115"/>
          <w:spacing w:val="0"/>
          <w:sz w:val="24"/>
          <w:szCs w:val="24"/>
          <w:shd w:val="clear" w:fill="FFFFFF"/>
        </w:rPr>
      </w:pPr>
      <w:r>
        <w:rPr>
          <w:rStyle w:val="6"/>
          <w:rFonts w:hint="default" w:ascii="Times New Roman" w:hAnsi="Times New Roman" w:eastAsia="Segoe UI" w:cs="Times New Roman"/>
          <w:b/>
          <w:bCs/>
          <w:i w:val="0"/>
          <w:iCs w:val="0"/>
          <w:color w:val="0F1115"/>
          <w:spacing w:val="0"/>
          <w:sz w:val="24"/>
          <w:szCs w:val="24"/>
          <w:shd w:val="clear" w:fill="FFFFFF"/>
          <w:lang w:val="ru-RU"/>
        </w:rPr>
        <w:t>С</w:t>
      </w:r>
      <w:r>
        <w:rPr>
          <w:rStyle w:val="6"/>
          <w:rFonts w:hint="default" w:ascii="Times New Roman" w:hAnsi="Times New Roman" w:eastAsia="Segoe UI" w:cs="Times New Roman"/>
          <w:b/>
          <w:bCs/>
          <w:i w:val="0"/>
          <w:iCs w:val="0"/>
          <w:color w:val="0F1115"/>
          <w:spacing w:val="0"/>
          <w:sz w:val="24"/>
          <w:szCs w:val="24"/>
          <w:shd w:val="clear" w:fill="FFFFFF"/>
        </w:rPr>
        <w:t xml:space="preserve">равнительный анализ методов вейвлет-преобразования для выделения диагностических признаков кавитации в насосе окислителя </w:t>
      </w:r>
      <w:r>
        <w:rPr>
          <w:rStyle w:val="6"/>
          <w:rFonts w:hint="default" w:ascii="Times New Roman" w:hAnsi="Times New Roman" w:eastAsia="Segoe UI" w:cs="Times New Roman"/>
          <w:b/>
          <w:bCs/>
          <w:i w:val="0"/>
          <w:iCs w:val="0"/>
          <w:color w:val="0F1115"/>
          <w:spacing w:val="0"/>
          <w:sz w:val="24"/>
          <w:szCs w:val="24"/>
          <w:shd w:val="clear" w:fill="FFFFFF"/>
          <w:lang w:val="ru-RU"/>
        </w:rPr>
        <w:t>ЖРД</w:t>
      </w:r>
      <w:r>
        <w:rPr>
          <w:rStyle w:val="6"/>
          <w:rFonts w:hint="default" w:ascii="Times New Roman" w:hAnsi="Times New Roman" w:eastAsia="Segoe UI" w:cs="Times New Roman"/>
          <w:b/>
          <w:bCs/>
          <w:i w:val="0"/>
          <w:iCs w:val="0"/>
          <w:color w:val="0F1115"/>
          <w:spacing w:val="0"/>
          <w:sz w:val="24"/>
          <w:szCs w:val="24"/>
          <w:shd w:val="clear" w:fill="FFFFFF"/>
        </w:rPr>
        <w:t xml:space="preserve"> по вибросигналу</w:t>
      </w:r>
    </w:p>
    <w:p w14:paraId="776662AC">
      <w:pPr>
        <w:spacing w:line="240" w:lineRule="auto"/>
        <w:jc w:val="center"/>
        <w:rPr>
          <w:rStyle w:val="6"/>
          <w:rFonts w:hint="default" w:ascii="Times New Roman" w:hAnsi="Times New Roman" w:eastAsia="Segoe UI" w:cs="Times New Roman"/>
          <w:b/>
          <w:bCs/>
          <w:i/>
          <w:iCs/>
          <w:caps w:val="0"/>
          <w:color w:val="0F1115"/>
          <w:spacing w:val="0"/>
          <w:sz w:val="24"/>
          <w:szCs w:val="24"/>
          <w:shd w:val="clear" w:fill="FFFFFF"/>
          <w:lang w:val="ru-RU"/>
        </w:rPr>
      </w:pPr>
      <w:r>
        <w:rPr>
          <w:rStyle w:val="6"/>
          <w:rFonts w:hint="default" w:ascii="Times New Roman" w:hAnsi="Times New Roman" w:eastAsia="Segoe UI" w:cs="Times New Roman"/>
          <w:b/>
          <w:bCs/>
          <w:i/>
          <w:iCs/>
          <w:caps w:val="0"/>
          <w:color w:val="0F1115"/>
          <w:spacing w:val="0"/>
          <w:sz w:val="24"/>
          <w:szCs w:val="24"/>
          <w:shd w:val="clear" w:fill="FFFFFF"/>
        </w:rPr>
        <w:t xml:space="preserve">Исаев </w:t>
      </w:r>
      <w:r>
        <w:rPr>
          <w:rStyle w:val="6"/>
          <w:rFonts w:hint="default" w:ascii="Times New Roman" w:hAnsi="Times New Roman" w:eastAsia="Segoe UI" w:cs="Times New Roman"/>
          <w:b/>
          <w:bCs/>
          <w:i/>
          <w:iCs/>
          <w:caps w:val="0"/>
          <w:color w:val="0F1115"/>
          <w:spacing w:val="0"/>
          <w:sz w:val="24"/>
          <w:szCs w:val="24"/>
          <w:shd w:val="clear" w:fill="FFFFFF"/>
          <w:lang w:val="ru-RU"/>
        </w:rPr>
        <w:t>Р.А</w:t>
      </w:r>
      <w:r>
        <w:rPr>
          <w:rStyle w:val="6"/>
          <w:rFonts w:hint="default" w:ascii="Times New Roman" w:hAnsi="Times New Roman" w:eastAsia="Segoe UI" w:cs="Times New Roman"/>
          <w:b/>
          <w:bCs/>
          <w:i/>
          <w:iCs/>
          <w:caps w:val="0"/>
          <w:color w:val="0F1115"/>
          <w:spacing w:val="0"/>
          <w:sz w:val="24"/>
          <w:szCs w:val="24"/>
          <w:shd w:val="clear" w:fill="FFFFFF"/>
          <w:vertAlign w:val="superscript"/>
        </w:rPr>
        <w:t>1</w:t>
      </w:r>
    </w:p>
    <w:p w14:paraId="01972E7B">
      <w:pPr>
        <w:spacing w:line="240" w:lineRule="auto"/>
        <w:jc w:val="center"/>
        <w:rPr>
          <w:rStyle w:val="4"/>
          <w:rFonts w:hint="default" w:ascii="Times New Roman" w:hAnsi="Times New Roman" w:eastAsia="Arial" w:cs="Times New Roman"/>
          <w:i/>
          <w:iCs/>
          <w:caps w:val="0"/>
          <w:color w:val="353535"/>
          <w:spacing w:val="0"/>
          <w:sz w:val="24"/>
          <w:szCs w:val="24"/>
          <w:shd w:val="clear" w:fill="FFFFFF"/>
          <w:lang w:val="ru-RU"/>
        </w:rPr>
      </w:pPr>
      <w:r>
        <w:rPr>
          <w:rStyle w:val="4"/>
          <w:rFonts w:hint="default" w:ascii="Times New Roman" w:hAnsi="Times New Roman" w:eastAsia="Arial" w:cs="Times New Roman"/>
          <w:i/>
          <w:iCs/>
          <w:caps w:val="0"/>
          <w:color w:val="353535"/>
          <w:spacing w:val="0"/>
          <w:sz w:val="24"/>
          <w:szCs w:val="24"/>
          <w:shd w:val="clear" w:fill="FFFFFF"/>
          <w:lang w:val="ru-RU"/>
        </w:rPr>
        <w:t>Студент</w:t>
      </w:r>
      <w:r>
        <w:rPr>
          <w:rStyle w:val="4"/>
          <w:rFonts w:hint="default" w:ascii="Times New Roman" w:hAnsi="Times New Roman" w:eastAsia="Arial" w:cs="Times New Roman"/>
          <w:i/>
          <w:iCs/>
          <w:caps w:val="0"/>
          <w:color w:val="353535"/>
          <w:spacing w:val="0"/>
          <w:sz w:val="24"/>
          <w:szCs w:val="24"/>
          <w:shd w:val="clear" w:fill="FFFFFF"/>
          <w:vertAlign w:val="superscript"/>
          <w:lang w:val="ru-RU"/>
        </w:rPr>
        <w:t>1</w:t>
      </w:r>
    </w:p>
    <w:p w14:paraId="3351A943">
      <w:pPr>
        <w:spacing w:line="240" w:lineRule="auto"/>
        <w:jc w:val="center"/>
        <w:rPr>
          <w:rStyle w:val="4"/>
          <w:rFonts w:hint="default" w:ascii="Times New Roman" w:hAnsi="Times New Roman" w:eastAsia="Segoe UI" w:cs="Times New Roman"/>
          <w:caps w:val="0"/>
          <w:color w:val="0F1115"/>
          <w:spacing w:val="0"/>
          <w:sz w:val="24"/>
          <w:szCs w:val="24"/>
          <w:shd w:val="clear" w:fill="FFFFFF"/>
        </w:rPr>
      </w:pPr>
      <w:r>
        <w:rPr>
          <w:rStyle w:val="4"/>
          <w:rFonts w:hint="default" w:ascii="Times New Roman" w:hAnsi="Times New Roman" w:eastAsia="Segoe UI" w:cs="Times New Roman"/>
          <w:caps w:val="0"/>
          <w:color w:val="0F1115"/>
          <w:spacing w:val="0"/>
          <w:sz w:val="24"/>
          <w:szCs w:val="24"/>
          <w:shd w:val="clear" w:fill="FFFFFF"/>
        </w:rPr>
        <w:t>Сибирский государственный университет науки и технологий имени академика М.Ф. Решетнева, Красноярск, Россия</w:t>
      </w:r>
    </w:p>
    <w:p w14:paraId="5E2052CA">
      <w:pPr>
        <w:spacing w:line="240" w:lineRule="auto"/>
        <w:jc w:val="center"/>
        <w:rPr>
          <w:rStyle w:val="4"/>
          <w:rFonts w:hint="default" w:ascii="Times New Roman" w:hAnsi="Times New Roman" w:eastAsia="Segoe UI" w:cs="Times New Roman"/>
          <w:caps w:val="0"/>
          <w:color w:val="0F1115"/>
          <w:spacing w:val="0"/>
          <w:sz w:val="24"/>
          <w:szCs w:val="24"/>
          <w:shd w:val="clear" w:fill="FFFFFF"/>
        </w:rPr>
      </w:pPr>
      <w:r>
        <w:rPr>
          <w:rStyle w:val="4"/>
          <w:rFonts w:hint="default" w:ascii="Times New Roman" w:hAnsi="Times New Roman" w:eastAsia="Segoe UI" w:cs="Times New Roman"/>
          <w:caps w:val="0"/>
          <w:color w:val="0F1115"/>
          <w:spacing w:val="0"/>
          <w:sz w:val="24"/>
          <w:szCs w:val="24"/>
          <w:shd w:val="clear" w:fill="FFFFFF"/>
        </w:rPr>
        <w:t>E–mail: </w:t>
      </w:r>
      <w:r>
        <w:rPr>
          <w:rStyle w:val="4"/>
          <w:rFonts w:hint="default" w:ascii="Times New Roman" w:hAnsi="Times New Roman" w:cs="Times New Roman"/>
          <w:sz w:val="24"/>
          <w:szCs w:val="24"/>
        </w:rPr>
        <w:fldChar w:fldCharType="begin"/>
      </w:r>
      <w:r>
        <w:rPr>
          <w:rStyle w:val="4"/>
          <w:rFonts w:hint="default" w:ascii="Times New Roman" w:hAnsi="Times New Roman" w:cs="Times New Roman"/>
          <w:sz w:val="24"/>
          <w:szCs w:val="24"/>
        </w:rPr>
        <w:instrText xml:space="preserve"> HYPERLINK "mailto:kost.gold@bk.ru" </w:instrText>
      </w:r>
      <w:r>
        <w:rPr>
          <w:rStyle w:val="4"/>
          <w:rFonts w:hint="default" w:ascii="Times New Roman" w:hAnsi="Times New Roman" w:cs="Times New Roman"/>
          <w:sz w:val="24"/>
          <w:szCs w:val="24"/>
        </w:rPr>
        <w:fldChar w:fldCharType="separate"/>
      </w:r>
      <w:r>
        <w:rPr>
          <w:rStyle w:val="4"/>
          <w:rFonts w:hint="default" w:ascii="Times New Roman" w:hAnsi="Times New Roman" w:cs="Times New Roman"/>
          <w:sz w:val="24"/>
          <w:szCs w:val="24"/>
        </w:rPr>
        <w:t>kost.gold@bk.ru</w:t>
      </w:r>
      <w:r>
        <w:rPr>
          <w:rStyle w:val="4"/>
          <w:rFonts w:hint="default" w:ascii="Times New Roman" w:hAnsi="Times New Roman" w:cs="Times New Roman"/>
          <w:sz w:val="24"/>
          <w:szCs w:val="24"/>
        </w:rPr>
        <w:fldChar w:fldCharType="end"/>
      </w:r>
    </w:p>
    <w:p w14:paraId="0A889EE6">
      <w:pPr>
        <w:ind w:firstLine="397"/>
        <w:jc w:val="both"/>
        <w:rPr>
          <w:rFonts w:hint="default" w:ascii="Times New Roman" w:hAnsi="Times New Roman" w:eastAsia="Times New Roman" w:cs="Times New Roman"/>
          <w:sz w:val="24"/>
          <w:szCs w:val="24"/>
          <w:lang w:val="en-US" w:eastAsia="ru-RU"/>
        </w:rPr>
      </w:pPr>
      <w:r>
        <w:rPr>
          <w:rFonts w:hint="default" w:ascii="Times New Roman" w:hAnsi="Times New Roman" w:eastAsia="Times New Roman" w:cs="Times New Roman"/>
          <w:sz w:val="24"/>
          <w:szCs w:val="24"/>
          <w:lang w:val="en-US" w:eastAsia="ru-RU"/>
        </w:rPr>
        <w:t>Ранняя диагностика кавитации в турбонасосном агрегате (ТНА) жидкостного ракетного двигателя (ЖРД) является критически важной для предотвращения эрозионного износа и катастрофических отказов [1]. Традиционные методы спектрального анализа на основе преобразования Фурье малоэффективны для анализа нестационарных кавитационных признаков, проявляющихся как широкополосный высокочастотный шум и импульсные события схлопывания пузырьков [2]. Целью данной работы является сравнительный анализ эффективности различных вейвлет-функций для оптимального выделения этих признаков из вибросигнала на фоне сильных низкочастотных вибраций ТНА.</w:t>
      </w:r>
    </w:p>
    <w:p w14:paraId="342ED073">
      <w:pPr>
        <w:ind w:firstLine="397"/>
        <w:jc w:val="both"/>
        <w:rPr>
          <w:rFonts w:hint="default" w:ascii="Times New Roman" w:hAnsi="Times New Roman" w:eastAsia="Times New Roman" w:cs="Times New Roman"/>
          <w:sz w:val="24"/>
          <w:szCs w:val="24"/>
          <w:lang w:val="en-US" w:eastAsia="ru-RU"/>
        </w:rPr>
      </w:pPr>
      <w:r>
        <w:rPr>
          <w:rFonts w:hint="default" w:ascii="Times New Roman" w:hAnsi="Times New Roman" w:eastAsia="Times New Roman" w:cs="Times New Roman"/>
          <w:sz w:val="24"/>
          <w:szCs w:val="24"/>
          <w:lang w:val="en-US" w:eastAsia="ru-RU"/>
        </w:rPr>
        <w:t>В качестве метода использовано непрерывное вейвлет-преобразование (НВП), позволяющее анализировать сигнал одновременно во временной и частотной областях [3]. Для сравнения выбраны четыре материнских вейвлета с разными свойствами: компактный Daubechies 4 (Db4) с лучшей временной локализацией, более гладкий Daubechies 8 (Db8), симметричный Symlet 8 (Sym8) и комплексный вейвлет Морле (CmMorl) с отличной частотной локализацией. Критериями оценки служили четкость визуализации высокочастотной полосы (40-60 кГц) и чувствительность к одиночным импульсным событиям. Анализ проводился на синтезированном вибросигнале, моделирующем работу насоса с развивающейся кавитацией на фоне вибраций от ротора (500 Гц) и лопаток (3.5 кГц). Результаты, представленные на скалограммах (Рис. 1), показали, что не существует универсального вейвлета, оптимального для всех типов признаков.</w:t>
      </w:r>
    </w:p>
    <w:p w14:paraId="54B9890D">
      <w:pPr>
        <w:pStyle w:val="7"/>
        <w:keepNext w:val="0"/>
        <w:keepLines w:val="0"/>
        <w:widowControl/>
        <w:suppressLineNumbers w:val="0"/>
        <w:shd w:val="clear" w:fill="FFFFFF"/>
        <w:spacing w:before="240" w:beforeAutospacing="0" w:after="240" w:afterAutospacing="0" w:line="240" w:lineRule="auto"/>
        <w:ind w:left="0" w:right="0" w:firstLine="0"/>
        <w:jc w:val="center"/>
        <w:rPr>
          <w:rFonts w:hint="default" w:ascii="Times New Roman" w:hAnsi="Times New Roman" w:eastAsia="Segoe UI" w:cs="Times New Roman"/>
          <w:b w:val="0"/>
          <w:bCs w:val="0"/>
          <w:i w:val="0"/>
          <w:iCs w:val="0"/>
          <w:caps w:val="0"/>
          <w:color w:val="0F1115"/>
          <w:spacing w:val="0"/>
          <w:sz w:val="24"/>
          <w:szCs w:val="24"/>
          <w:shd w:val="clear" w:fill="FFFFFF"/>
          <w:lang w:val="en-US"/>
        </w:rPr>
      </w:pPr>
      <w:r>
        <w:rPr>
          <w:rFonts w:hint="default" w:ascii="Times New Roman" w:hAnsi="Times New Roman" w:eastAsia="Segoe UI" w:cs="Times New Roman"/>
          <w:b w:val="0"/>
          <w:bCs w:val="0"/>
          <w:i w:val="0"/>
          <w:iCs w:val="0"/>
          <w:caps w:val="0"/>
          <w:color w:val="0F1115"/>
          <w:spacing w:val="0"/>
          <w:sz w:val="24"/>
          <w:szCs w:val="24"/>
          <w:shd w:val="clear" w:fill="FFFFFF"/>
          <w:lang w:val="en-US"/>
        </w:rPr>
        <w:drawing>
          <wp:inline distT="0" distB="0" distL="114300" distR="114300">
            <wp:extent cx="2816860" cy="1960880"/>
            <wp:effectExtent l="0" t="0" r="2540" b="1270"/>
            <wp:docPr id="2" name="Изображение 2" descr="рис1_временной_сигнал_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descr="рис1_временной_сигнал_ЧБ"/>
                    <pic:cNvPicPr>
                      <a:picLocks noChangeAspect="1"/>
                    </pic:cNvPicPr>
                  </pic:nvPicPr>
                  <pic:blipFill>
                    <a:blip r:embed="rId4"/>
                    <a:stretch>
                      <a:fillRect/>
                    </a:stretch>
                  </pic:blipFill>
                  <pic:spPr>
                    <a:xfrm>
                      <a:off x="0" y="0"/>
                      <a:ext cx="2816860" cy="1960880"/>
                    </a:xfrm>
                    <a:prstGeom prst="rect">
                      <a:avLst/>
                    </a:prstGeom>
                  </pic:spPr>
                </pic:pic>
              </a:graphicData>
            </a:graphic>
          </wp:inline>
        </w:drawing>
      </w:r>
    </w:p>
    <w:p w14:paraId="6F392A3C">
      <w:pPr>
        <w:pStyle w:val="7"/>
        <w:keepNext w:val="0"/>
        <w:keepLines w:val="0"/>
        <w:widowControl/>
        <w:suppressLineNumbers w:val="0"/>
        <w:shd w:val="clear" w:fill="FFFFFF"/>
        <w:spacing w:before="240" w:beforeAutospacing="0" w:after="240" w:afterAutospacing="0" w:line="240" w:lineRule="auto"/>
        <w:ind w:left="0" w:right="0" w:firstLine="0"/>
        <w:jc w:val="center"/>
        <w:rPr>
          <w:rFonts w:hint="default" w:ascii="Times New Roman" w:hAnsi="Times New Roman" w:eastAsia="Segoe UI" w:cs="Times New Roman"/>
          <w:i w:val="0"/>
          <w:iCs w:val="0"/>
          <w:caps w:val="0"/>
          <w:color w:val="0F1115"/>
          <w:spacing w:val="0"/>
          <w:sz w:val="20"/>
          <w:szCs w:val="20"/>
          <w:lang w:val="en-US"/>
        </w:rPr>
      </w:pPr>
      <w:r>
        <w:rPr>
          <w:rFonts w:hint="default" w:ascii="Times New Roman" w:hAnsi="Times New Roman" w:eastAsia="Segoe UI" w:cs="Times New Roman"/>
          <w:i w:val="0"/>
          <w:iCs w:val="0"/>
          <w:caps w:val="0"/>
          <w:color w:val="0F1115"/>
          <w:spacing w:val="0"/>
          <w:sz w:val="20"/>
          <w:szCs w:val="20"/>
        </w:rPr>
        <w:t>Рис. 1. Временная реализация синтезированного вибросигнала s(t)</w:t>
      </w:r>
    </w:p>
    <w:p w14:paraId="1CA678E7">
      <w:pPr>
        <w:pStyle w:val="7"/>
        <w:keepNext w:val="0"/>
        <w:keepLines w:val="0"/>
        <w:widowControl/>
        <w:numPr>
          <w:ilvl w:val="0"/>
          <w:numId w:val="1"/>
        </w:numPr>
        <w:suppressLineNumbers w:val="0"/>
        <w:spacing w:before="0" w:beforeAutospacing="0" w:after="0" w:afterAutospacing="0" w:line="240" w:lineRule="auto"/>
        <w:ind w:left="425" w:leftChars="0" w:right="0" w:hanging="425" w:firstLineChars="0"/>
        <w:jc w:val="both"/>
        <w:rPr>
          <w:rFonts w:hint="default" w:ascii="Times New Roman" w:hAnsi="Times New Roman" w:eastAsia="Times New Roman" w:cs="Times New Roman"/>
          <w:sz w:val="24"/>
          <w:szCs w:val="24"/>
          <w:lang w:val="en-US" w:eastAsia="ru-RU" w:bidi="ar-SA"/>
        </w:rPr>
      </w:pPr>
      <w:r>
        <w:rPr>
          <w:rFonts w:hint="default" w:ascii="Times New Roman" w:hAnsi="Times New Roman" w:eastAsia="Times New Roman" w:cs="Times New Roman"/>
          <w:sz w:val="24"/>
          <w:szCs w:val="24"/>
          <w:lang w:val="en-US" w:eastAsia="ru-RU" w:bidi="ar-SA"/>
        </w:rPr>
        <w:t>Для детектирования широкополосной высокочастотной компоненты кавитации наилучшие результаты показал комплексный вейвлет Морле (CmMorl). На скалограмме (Рис. 2a) кавитационная полоса в диапазоне 40-60 кГц визуализируется наиболее четко, с хорошо различимыми временными границами (0.3–0.8 с). Его эффективность визуализации данной компоненты на 30-40% выше, чем у компактного вейвлета Db4.</w:t>
      </w:r>
    </w:p>
    <w:p w14:paraId="0216C6C5">
      <w:pPr>
        <w:pStyle w:val="7"/>
        <w:keepNext w:val="0"/>
        <w:keepLines w:val="0"/>
        <w:widowControl/>
        <w:numPr>
          <w:ilvl w:val="0"/>
          <w:numId w:val="1"/>
        </w:numPr>
        <w:suppressLineNumbers w:val="0"/>
        <w:spacing w:before="0" w:beforeAutospacing="0" w:after="0" w:afterAutospacing="0" w:line="240" w:lineRule="auto"/>
        <w:ind w:left="425" w:leftChars="0" w:right="0" w:hanging="425" w:firstLineChars="0"/>
        <w:jc w:val="both"/>
        <w:rPr>
          <w:rFonts w:hint="default" w:ascii="Times New Roman" w:hAnsi="Times New Roman" w:eastAsia="Times New Roman" w:cs="Times New Roman"/>
          <w:sz w:val="24"/>
          <w:szCs w:val="24"/>
          <w:lang w:val="en-US" w:eastAsia="ru-RU" w:bidi="ar-SA"/>
        </w:rPr>
      </w:pPr>
      <w:r>
        <w:rPr>
          <w:rFonts w:hint="default" w:ascii="Times New Roman" w:hAnsi="Times New Roman" w:eastAsia="Times New Roman" w:cs="Times New Roman"/>
          <w:sz w:val="24"/>
          <w:szCs w:val="24"/>
          <w:lang w:val="en-US" w:eastAsia="ru-RU" w:bidi="ar-SA"/>
        </w:rPr>
        <w:t>Для обнаружения одиночных импульсных событий, соответствующих схлопыванию отдельных пузырьков, наиболее эффективен вейвлет Db4. На скалограмме (Рис. 2d) импульсы видны как четкие вертикальные «вспышки», локализованные во времени. Контрастность импульсов при использовании Db4 примерно на 25% выше, чем при использовании CmMorl.</w:t>
      </w:r>
    </w:p>
    <w:p w14:paraId="44C688A5">
      <w:pPr>
        <w:pStyle w:val="7"/>
        <w:keepNext w:val="0"/>
        <w:keepLines w:val="0"/>
        <w:widowControl/>
        <w:numPr>
          <w:ilvl w:val="0"/>
          <w:numId w:val="1"/>
        </w:numPr>
        <w:suppressLineNumbers w:val="0"/>
        <w:spacing w:before="0" w:beforeAutospacing="0" w:after="0" w:afterAutospacing="0" w:line="240" w:lineRule="auto"/>
        <w:ind w:left="425" w:leftChars="0" w:right="0" w:hanging="425" w:firstLineChars="0"/>
        <w:jc w:val="both"/>
        <w:rPr>
          <w:rFonts w:hint="default" w:ascii="Times New Roman" w:hAnsi="Times New Roman" w:eastAsia="Times New Roman" w:cs="Times New Roman"/>
          <w:sz w:val="24"/>
          <w:szCs w:val="24"/>
          <w:lang w:val="en-US" w:eastAsia="ru-RU" w:bidi="ar-SA"/>
        </w:rPr>
      </w:pPr>
      <w:r>
        <w:rPr>
          <w:rFonts w:hint="default" w:ascii="Times New Roman" w:hAnsi="Times New Roman" w:eastAsia="Times New Roman" w:cs="Times New Roman"/>
          <w:sz w:val="24"/>
          <w:szCs w:val="24"/>
          <w:lang w:val="en-US" w:eastAsia="ru-RU" w:bidi="ar-SA"/>
        </w:rPr>
        <w:t>Вейвлеты Sym8 и Db8 демонстрируют промежуточные, удовлетворительные результаты по обоим критериям (Рис. 2b, 2c).</w:t>
      </w:r>
    </w:p>
    <w:p w14:paraId="2704DB5B">
      <w:pPr>
        <w:pStyle w:val="7"/>
        <w:keepNext w:val="0"/>
        <w:keepLines w:val="0"/>
        <w:widowControl/>
        <w:numPr>
          <w:ilvl w:val="0"/>
          <w:numId w:val="0"/>
        </w:numPr>
        <w:suppressLineNumbers w:val="0"/>
        <w:spacing w:before="0" w:beforeAutospacing="0" w:after="0" w:afterAutospacing="0" w:line="240" w:lineRule="auto"/>
        <w:ind w:leftChars="0" w:right="0" w:rightChars="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F1115"/>
          <w:spacing w:val="0"/>
          <w:sz w:val="24"/>
          <w:szCs w:val="24"/>
          <w:shd w:val="clear" w:fill="FFFFFF"/>
          <w:lang w:val="en-US"/>
        </w:rPr>
        <w:drawing>
          <wp:inline distT="0" distB="0" distL="114300" distR="114300">
            <wp:extent cx="2912110" cy="1733550"/>
            <wp:effectExtent l="0" t="0" r="2540" b="0"/>
            <wp:docPr id="6" name="Изображение 6" descr="рис2_CmMorl_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6" descr="рис2_CmMorl_ЧБ"/>
                    <pic:cNvPicPr>
                      <a:picLocks noChangeAspect="1"/>
                    </pic:cNvPicPr>
                  </pic:nvPicPr>
                  <pic:blipFill>
                    <a:blip r:embed="rId5"/>
                    <a:stretch>
                      <a:fillRect/>
                    </a:stretch>
                  </pic:blipFill>
                  <pic:spPr>
                    <a:xfrm>
                      <a:off x="0" y="0"/>
                      <a:ext cx="2912110" cy="1733550"/>
                    </a:xfrm>
                    <a:prstGeom prst="rect">
                      <a:avLst/>
                    </a:prstGeom>
                  </pic:spPr>
                </pic:pic>
              </a:graphicData>
            </a:graphic>
          </wp:inline>
        </w:drawing>
      </w:r>
      <w:r>
        <w:rPr>
          <w:rFonts w:hint="default" w:ascii="Times New Roman" w:hAnsi="Times New Roman" w:eastAsia="Segoe UI" w:cs="Times New Roman"/>
          <w:i w:val="0"/>
          <w:iCs w:val="0"/>
          <w:caps w:val="0"/>
          <w:color w:val="0F1115"/>
          <w:spacing w:val="0"/>
          <w:sz w:val="24"/>
          <w:szCs w:val="24"/>
          <w:shd w:val="clear" w:fill="FFFFFF"/>
          <w:lang w:val="en-US"/>
        </w:rPr>
        <w:drawing>
          <wp:inline distT="0" distB="0" distL="114300" distR="114300">
            <wp:extent cx="2903220" cy="1727200"/>
            <wp:effectExtent l="0" t="0" r="11430" b="6350"/>
            <wp:docPr id="5" name="Изображение 5" descr="рис3_Sym8_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5" descr="рис3_Sym8_ЧБ"/>
                    <pic:cNvPicPr>
                      <a:picLocks noChangeAspect="1"/>
                    </pic:cNvPicPr>
                  </pic:nvPicPr>
                  <pic:blipFill>
                    <a:blip r:embed="rId6"/>
                    <a:stretch>
                      <a:fillRect/>
                    </a:stretch>
                  </pic:blipFill>
                  <pic:spPr>
                    <a:xfrm>
                      <a:off x="0" y="0"/>
                      <a:ext cx="2903220" cy="1727200"/>
                    </a:xfrm>
                    <a:prstGeom prst="rect">
                      <a:avLst/>
                    </a:prstGeom>
                  </pic:spPr>
                </pic:pic>
              </a:graphicData>
            </a:graphic>
          </wp:inline>
        </w:drawing>
      </w:r>
      <w:r>
        <w:rPr>
          <w:rFonts w:hint="default" w:ascii="Times New Roman" w:hAnsi="Times New Roman" w:eastAsia="Segoe UI" w:cs="Times New Roman"/>
          <w:i w:val="0"/>
          <w:iCs w:val="0"/>
          <w:caps w:val="0"/>
          <w:color w:val="0F1115"/>
          <w:spacing w:val="0"/>
          <w:sz w:val="24"/>
          <w:szCs w:val="24"/>
          <w:shd w:val="clear" w:fill="FFFFFF"/>
          <w:lang w:val="en-US"/>
        </w:rPr>
        <w:drawing>
          <wp:inline distT="0" distB="0" distL="114300" distR="114300">
            <wp:extent cx="2845435" cy="1692910"/>
            <wp:effectExtent l="0" t="0" r="12065" b="2540"/>
            <wp:docPr id="4" name="Изображение 4" descr="рис4_Db8_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4" descr="рис4_Db8_ЧБ"/>
                    <pic:cNvPicPr>
                      <a:picLocks noChangeAspect="1"/>
                    </pic:cNvPicPr>
                  </pic:nvPicPr>
                  <pic:blipFill>
                    <a:blip r:embed="rId7"/>
                    <a:stretch>
                      <a:fillRect/>
                    </a:stretch>
                  </pic:blipFill>
                  <pic:spPr>
                    <a:xfrm>
                      <a:off x="0" y="0"/>
                      <a:ext cx="2845435" cy="1692910"/>
                    </a:xfrm>
                    <a:prstGeom prst="rect">
                      <a:avLst/>
                    </a:prstGeom>
                  </pic:spPr>
                </pic:pic>
              </a:graphicData>
            </a:graphic>
          </wp:inline>
        </w:drawing>
      </w:r>
      <w:r>
        <w:rPr>
          <w:rFonts w:hint="default" w:ascii="Times New Roman" w:hAnsi="Times New Roman" w:eastAsia="Segoe UI" w:cs="Times New Roman"/>
          <w:i w:val="0"/>
          <w:iCs w:val="0"/>
          <w:caps w:val="0"/>
          <w:color w:val="0F1115"/>
          <w:spacing w:val="0"/>
          <w:sz w:val="24"/>
          <w:szCs w:val="24"/>
          <w:shd w:val="clear" w:fill="FFFFFF"/>
          <w:lang w:val="en-US"/>
        </w:rPr>
        <w:drawing>
          <wp:inline distT="0" distB="0" distL="114300" distR="114300">
            <wp:extent cx="2967990" cy="1767205"/>
            <wp:effectExtent l="0" t="0" r="3810" b="4445"/>
            <wp:docPr id="3" name="Изображение 3" descr="рис5_Db4_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3" descr="рис5_Db4_ЧБ"/>
                    <pic:cNvPicPr>
                      <a:picLocks noChangeAspect="1"/>
                    </pic:cNvPicPr>
                  </pic:nvPicPr>
                  <pic:blipFill>
                    <a:blip r:embed="rId8"/>
                    <a:stretch>
                      <a:fillRect/>
                    </a:stretch>
                  </pic:blipFill>
                  <pic:spPr>
                    <a:xfrm>
                      <a:off x="0" y="0"/>
                      <a:ext cx="2967990" cy="1767205"/>
                    </a:xfrm>
                    <a:prstGeom prst="rect">
                      <a:avLst/>
                    </a:prstGeom>
                  </pic:spPr>
                </pic:pic>
              </a:graphicData>
            </a:graphic>
          </wp:inline>
        </w:drawing>
      </w:r>
    </w:p>
    <w:p w14:paraId="09878AF3">
      <w:pPr>
        <w:pStyle w:val="7"/>
        <w:keepNext w:val="0"/>
        <w:keepLines w:val="0"/>
        <w:widowControl/>
        <w:suppressLineNumbers w:val="0"/>
        <w:shd w:val="clear" w:fill="FFFFFF"/>
        <w:spacing w:before="240" w:beforeAutospacing="0" w:after="240" w:afterAutospacing="0" w:line="240" w:lineRule="auto"/>
        <w:ind w:left="0" w:right="0" w:firstLine="0"/>
        <w:jc w:val="center"/>
        <w:rPr>
          <w:rFonts w:hint="default" w:ascii="Times New Roman" w:hAnsi="Times New Roman" w:eastAsia="Segoe UI" w:cs="Times New Roman"/>
          <w:i w:val="0"/>
          <w:iCs w:val="0"/>
          <w:caps w:val="0"/>
          <w:color w:val="0F1115"/>
          <w:spacing w:val="0"/>
          <w:sz w:val="20"/>
          <w:szCs w:val="20"/>
          <w:shd w:val="clear" w:fill="FFFFFF"/>
          <w:lang w:val="en-US"/>
        </w:rPr>
      </w:pPr>
      <w:r>
        <w:rPr>
          <w:rFonts w:hint="default" w:ascii="Times New Roman" w:hAnsi="Times New Roman" w:eastAsia="Segoe UI" w:cs="Times New Roman"/>
          <w:i w:val="0"/>
          <w:iCs w:val="0"/>
          <w:caps w:val="0"/>
          <w:color w:val="0F1115"/>
          <w:spacing w:val="0"/>
          <w:sz w:val="20"/>
          <w:szCs w:val="20"/>
          <w:shd w:val="clear" w:fill="FFFFFF"/>
        </w:rPr>
        <w:t xml:space="preserve">Рис. </w:t>
      </w:r>
      <w:r>
        <w:rPr>
          <w:rFonts w:hint="default" w:ascii="Times New Roman" w:hAnsi="Times New Roman" w:eastAsia="Segoe UI" w:cs="Times New Roman"/>
          <w:i w:val="0"/>
          <w:iCs w:val="0"/>
          <w:caps w:val="0"/>
          <w:color w:val="0F1115"/>
          <w:spacing w:val="0"/>
          <w:sz w:val="20"/>
          <w:szCs w:val="20"/>
          <w:shd w:val="clear" w:fill="FFFFFF"/>
          <w:lang w:val="en-US"/>
        </w:rPr>
        <w:t>2a, 2b, 2c, 2d</w:t>
      </w:r>
      <w:r>
        <w:rPr>
          <w:rFonts w:hint="default" w:ascii="Times New Roman" w:hAnsi="Times New Roman" w:eastAsia="Segoe UI" w:cs="Times New Roman"/>
          <w:i w:val="0"/>
          <w:iCs w:val="0"/>
          <w:caps w:val="0"/>
          <w:color w:val="0F1115"/>
          <w:spacing w:val="0"/>
          <w:sz w:val="20"/>
          <w:szCs w:val="20"/>
          <w:shd w:val="clear" w:fill="FFFFFF"/>
        </w:rPr>
        <w:t xml:space="preserve">. Скалограммы, полученные с использованием вейвлетов: </w:t>
      </w:r>
      <w:r>
        <w:rPr>
          <w:rFonts w:hint="default" w:ascii="Times New Roman" w:hAnsi="Times New Roman" w:eastAsia="Segoe UI" w:cs="Times New Roman"/>
          <w:i w:val="0"/>
          <w:iCs w:val="0"/>
          <w:caps w:val="0"/>
          <w:color w:val="0F1115"/>
          <w:spacing w:val="0"/>
          <w:sz w:val="20"/>
          <w:szCs w:val="20"/>
          <w:shd w:val="clear" w:fill="FFFFFF"/>
          <w:lang w:val="en-US"/>
        </w:rPr>
        <w:t>2a)</w:t>
      </w:r>
      <w:r>
        <w:rPr>
          <w:rFonts w:hint="default" w:ascii="Times New Roman" w:hAnsi="Times New Roman" w:eastAsia="Segoe UI" w:cs="Times New Roman"/>
          <w:i w:val="0"/>
          <w:iCs w:val="0"/>
          <w:caps w:val="0"/>
          <w:color w:val="0F1115"/>
          <w:spacing w:val="0"/>
          <w:sz w:val="20"/>
          <w:szCs w:val="20"/>
          <w:shd w:val="clear" w:fill="FFFFFF"/>
        </w:rPr>
        <w:t xml:space="preserve"> CmMorl, </w:t>
      </w:r>
      <w:r>
        <w:rPr>
          <w:rFonts w:hint="default" w:ascii="Times New Roman" w:hAnsi="Times New Roman" w:eastAsia="Segoe UI" w:cs="Times New Roman"/>
          <w:i w:val="0"/>
          <w:iCs w:val="0"/>
          <w:caps w:val="0"/>
          <w:color w:val="0F1115"/>
          <w:spacing w:val="0"/>
          <w:sz w:val="20"/>
          <w:szCs w:val="20"/>
          <w:shd w:val="clear" w:fill="FFFFFF"/>
          <w:lang w:val="en-US"/>
        </w:rPr>
        <w:t>2b</w:t>
      </w:r>
      <w:r>
        <w:rPr>
          <w:rFonts w:hint="default" w:ascii="Times New Roman" w:hAnsi="Times New Roman" w:eastAsia="Segoe UI" w:cs="Times New Roman"/>
          <w:i w:val="0"/>
          <w:iCs w:val="0"/>
          <w:caps w:val="0"/>
          <w:color w:val="0F1115"/>
          <w:spacing w:val="0"/>
          <w:sz w:val="20"/>
          <w:szCs w:val="20"/>
          <w:shd w:val="clear" w:fill="FFFFFF"/>
        </w:rPr>
        <w:t>) Sym8,</w:t>
      </w:r>
      <w:r>
        <w:rPr>
          <w:rFonts w:hint="default" w:ascii="Times New Roman" w:hAnsi="Times New Roman" w:eastAsia="Segoe UI" w:cs="Times New Roman"/>
          <w:i w:val="0"/>
          <w:iCs w:val="0"/>
          <w:caps w:val="0"/>
          <w:color w:val="0F1115"/>
          <w:spacing w:val="0"/>
          <w:sz w:val="20"/>
          <w:szCs w:val="20"/>
          <w:shd w:val="clear" w:fill="FFFFFF"/>
          <w:lang w:val="en-US"/>
        </w:rPr>
        <w:t xml:space="preserve"> 2c</w:t>
      </w:r>
      <w:r>
        <w:rPr>
          <w:rFonts w:hint="default" w:ascii="Times New Roman" w:hAnsi="Times New Roman" w:eastAsia="Segoe UI" w:cs="Times New Roman"/>
          <w:i w:val="0"/>
          <w:iCs w:val="0"/>
          <w:caps w:val="0"/>
          <w:color w:val="0F1115"/>
          <w:spacing w:val="0"/>
          <w:sz w:val="20"/>
          <w:szCs w:val="20"/>
          <w:shd w:val="clear" w:fill="FFFFFF"/>
        </w:rPr>
        <w:t xml:space="preserve">) Db8, </w:t>
      </w:r>
      <w:r>
        <w:rPr>
          <w:rFonts w:hint="default" w:ascii="Times New Roman" w:hAnsi="Times New Roman" w:eastAsia="Segoe UI" w:cs="Times New Roman"/>
          <w:i w:val="0"/>
          <w:iCs w:val="0"/>
          <w:caps w:val="0"/>
          <w:color w:val="0F1115"/>
          <w:spacing w:val="0"/>
          <w:sz w:val="20"/>
          <w:szCs w:val="20"/>
          <w:shd w:val="clear" w:fill="FFFFFF"/>
          <w:lang w:val="en-US"/>
        </w:rPr>
        <w:t>2d</w:t>
      </w:r>
      <w:r>
        <w:rPr>
          <w:rFonts w:hint="default" w:ascii="Times New Roman" w:hAnsi="Times New Roman" w:eastAsia="Segoe UI" w:cs="Times New Roman"/>
          <w:i w:val="0"/>
          <w:iCs w:val="0"/>
          <w:caps w:val="0"/>
          <w:color w:val="0F1115"/>
          <w:spacing w:val="0"/>
          <w:sz w:val="20"/>
          <w:szCs w:val="20"/>
          <w:shd w:val="clear" w:fill="FFFFFF"/>
        </w:rPr>
        <w:t>) Db4. Пунктиром обозначена высокочастотная кавитационная полоса (40-60 кГц).</w:t>
      </w:r>
    </w:p>
    <w:p w14:paraId="6B18BFA7">
      <w:pPr>
        <w:ind w:firstLine="397"/>
        <w:jc w:val="both"/>
        <w:rPr>
          <w:rFonts w:hint="default" w:ascii="Times New Roman" w:hAnsi="Times New Roman" w:eastAsia="Times New Roman" w:cs="Times New Roman"/>
          <w:sz w:val="24"/>
          <w:szCs w:val="24"/>
          <w:lang w:val="en-US" w:eastAsia="ru-RU"/>
        </w:rPr>
      </w:pPr>
      <w:r>
        <w:rPr>
          <w:rFonts w:hint="default" w:ascii="Times New Roman" w:hAnsi="Times New Roman" w:eastAsia="Times New Roman" w:cs="Times New Roman"/>
          <w:sz w:val="24"/>
          <w:szCs w:val="24"/>
          <w:lang w:val="en-US" w:eastAsia="ru-RU"/>
        </w:rPr>
        <w:t>На основании проведенного анализа для практической реализации в системах контроля ЖРД предложен двухэтапный гибридный алгоритм. На первом этапе постоянного мониторинга с помощью вейвлета Морле или Sym8 следует контролировать общий уровень высокочастотной вибрации для детектирования факта возникновения кавитации. При превышении порога активируется второй этап детального анализа с использованием вейвлета Db4 для оценки интенсивности и распределения импульсных событий с целью классификации типа кавитации и оценки её опасности. Полученные результаты формируют основу для разработки автоматизированных алгоритмов предиктивной диагностики ТНА ЖРД. Перспективным направлением является применение предложенного гибридного подхода к натурным вибросигналам и его интеграция с методами машинного обучения для автоматической классификации режимов работы.</w:t>
      </w:r>
    </w:p>
    <w:p w14:paraId="042B9A90">
      <w:pPr>
        <w:pStyle w:val="7"/>
        <w:keepNext w:val="0"/>
        <w:keepLines w:val="0"/>
        <w:widowControl/>
        <w:suppressLineNumbers w:val="0"/>
        <w:shd w:val="clear" w:fill="FFFFFF"/>
        <w:spacing w:before="240" w:beforeAutospacing="0" w:after="240" w:afterAutospacing="0" w:line="240" w:lineRule="auto"/>
        <w:ind w:left="0" w:right="0" w:firstLine="0"/>
        <w:jc w:val="center"/>
        <w:rPr>
          <w:rFonts w:hint="default" w:ascii="Times New Roman" w:hAnsi="Times New Roman" w:cs="Times New Roman"/>
          <w:b/>
          <w:bCs/>
          <w:sz w:val="24"/>
          <w:szCs w:val="24"/>
        </w:rPr>
      </w:pPr>
      <w:r>
        <w:rPr>
          <w:rStyle w:val="6"/>
          <w:rFonts w:hint="default" w:ascii="Times New Roman" w:hAnsi="Times New Roman" w:eastAsia="Segoe UI" w:cs="Times New Roman"/>
          <w:b/>
          <w:bCs/>
          <w:i w:val="0"/>
          <w:iCs w:val="0"/>
          <w:caps w:val="0"/>
          <w:color w:val="0F1115"/>
          <w:spacing w:val="0"/>
          <w:sz w:val="24"/>
          <w:szCs w:val="24"/>
          <w:shd w:val="clear" w:fill="FFFFFF"/>
        </w:rPr>
        <w:t>Литература</w:t>
      </w:r>
    </w:p>
    <w:p w14:paraId="3285E6E8">
      <w:pPr>
        <w:pStyle w:val="8"/>
        <w:numPr>
          <w:ilvl w:val="0"/>
          <w:numId w:val="2"/>
        </w:numPr>
        <w:ind w:left="709" w:hanging="283"/>
        <w:rPr>
          <w:rFonts w:hint="default" w:ascii="Times New Roman" w:hAnsi="Times New Roman" w:eastAsia="Times New Roman" w:cs="Times New Roman"/>
          <w:sz w:val="24"/>
          <w:szCs w:val="20"/>
          <w:lang w:val="en-US" w:eastAsia="ru-RU"/>
        </w:rPr>
      </w:pPr>
      <w:r>
        <w:rPr>
          <w:rFonts w:hint="default" w:ascii="Times New Roman" w:hAnsi="Times New Roman" w:eastAsia="Times New Roman" w:cs="Times New Roman"/>
          <w:sz w:val="24"/>
          <w:szCs w:val="20"/>
          <w:lang w:val="ru-RU" w:eastAsia="ru-RU"/>
        </w:rPr>
        <w:t>Патент RU2367970C2 Российская Федерация</w:t>
      </w:r>
      <w:r>
        <w:rPr>
          <w:rFonts w:hint="default" w:ascii="Times New Roman" w:hAnsi="Times New Roman" w:eastAsia="Times New Roman" w:cs="Times New Roman"/>
          <w:sz w:val="24"/>
          <w:szCs w:val="20"/>
          <w:lang w:val="en-US" w:eastAsia="ru-RU"/>
        </w:rPr>
        <w:t>.</w:t>
      </w:r>
      <w:r>
        <w:rPr>
          <w:rFonts w:hint="default" w:ascii="Times New Roman" w:hAnsi="Times New Roman" w:eastAsia="Times New Roman" w:cs="Times New Roman"/>
          <w:sz w:val="24"/>
          <w:szCs w:val="20"/>
          <w:lang w:val="ru-RU" w:eastAsia="ru-RU"/>
        </w:rPr>
        <w:t xml:space="preserve"> Устройство обнаружения узкополосных шумовых гидроакустических сигналов на основе вычисления интегрального вейвлет-спектра: заявл. : опубл. </w:t>
      </w:r>
      <w:r>
        <w:rPr>
          <w:rFonts w:hint="default" w:ascii="Times New Roman" w:hAnsi="Times New Roman" w:eastAsia="Times New Roman" w:cs="Times New Roman"/>
          <w:sz w:val="24"/>
          <w:szCs w:val="20"/>
          <w:lang w:val="en-US" w:eastAsia="ru-RU"/>
        </w:rPr>
        <w:t>28</w:t>
      </w:r>
      <w:r>
        <w:rPr>
          <w:rFonts w:hint="default" w:ascii="Times New Roman" w:hAnsi="Times New Roman" w:eastAsia="Times New Roman" w:cs="Times New Roman"/>
          <w:sz w:val="24"/>
          <w:szCs w:val="20"/>
          <w:lang w:val="ru-RU" w:eastAsia="ru-RU"/>
        </w:rPr>
        <w:t>.11.20</w:t>
      </w:r>
      <w:r>
        <w:rPr>
          <w:rFonts w:hint="default" w:ascii="Times New Roman" w:hAnsi="Times New Roman" w:eastAsia="Times New Roman" w:cs="Times New Roman"/>
          <w:sz w:val="24"/>
          <w:szCs w:val="20"/>
          <w:lang w:val="en-US" w:eastAsia="ru-RU"/>
        </w:rPr>
        <w:t>07</w:t>
      </w:r>
      <w:r>
        <w:rPr>
          <w:rFonts w:hint="default" w:ascii="Times New Roman" w:hAnsi="Times New Roman" w:eastAsia="Times New Roman" w:cs="Times New Roman"/>
          <w:sz w:val="24"/>
          <w:szCs w:val="20"/>
          <w:lang w:val="ru-RU" w:eastAsia="ru-RU"/>
        </w:rPr>
        <w:t xml:space="preserve"> / Государственное образовательное учреждение высшего профессионального образования Военно-морская академия имени Адмирала Флота Советского Союза Н.Г. КУЗНЕЦОВА ; изобрет. Сапрыкин В.А [и др.].</w:t>
      </w:r>
      <w:bookmarkStart w:id="0" w:name="_GoBack"/>
      <w:bookmarkEnd w:id="0"/>
    </w:p>
    <w:p w14:paraId="127850E0">
      <w:pPr>
        <w:pStyle w:val="8"/>
        <w:numPr>
          <w:ilvl w:val="0"/>
          <w:numId w:val="2"/>
        </w:numPr>
        <w:ind w:left="709" w:hanging="283"/>
        <w:rPr>
          <w:rFonts w:hint="default" w:ascii="Times New Roman" w:hAnsi="Times New Roman" w:eastAsia="Times New Roman" w:cs="Times New Roman"/>
          <w:sz w:val="24"/>
          <w:szCs w:val="20"/>
          <w:lang w:val="en-US" w:eastAsia="ru-RU"/>
        </w:rPr>
      </w:pPr>
      <w:r>
        <w:rPr>
          <w:rFonts w:hint="default" w:ascii="Times New Roman" w:hAnsi="Times New Roman" w:eastAsia="Times New Roman"/>
          <w:sz w:val="24"/>
          <w:szCs w:val="20"/>
          <w:lang w:val="en-US" w:eastAsia="ru-RU"/>
        </w:rPr>
        <w:t>Герике П.Б. Никитин А.Г.</w:t>
      </w:r>
      <w:r>
        <w:rPr>
          <w:rFonts w:hint="default" w:ascii="Times New Roman" w:hAnsi="Times New Roman" w:eastAsia="Times New Roman" w:cs="Times New Roman"/>
          <w:sz w:val="24"/>
          <w:szCs w:val="20"/>
          <w:lang w:val="en-US" w:eastAsia="ru-RU"/>
        </w:rPr>
        <w:t xml:space="preserve"> </w:t>
      </w:r>
      <w:r>
        <w:rPr>
          <w:rFonts w:hint="default" w:ascii="Times New Roman" w:hAnsi="Times New Roman" w:eastAsia="Times New Roman"/>
          <w:sz w:val="24"/>
          <w:szCs w:val="20"/>
          <w:lang w:val="en-US" w:eastAsia="ru-RU"/>
        </w:rPr>
        <w:t>ВИБРОДИАГНОСТИКА ЦЕНТРОБЕЖНЫХ НАСОСОВ</w:t>
      </w:r>
      <w:r>
        <w:rPr>
          <w:rFonts w:hint="default" w:ascii="Times New Roman" w:hAnsi="Times New Roman" w:eastAsia="Times New Roman" w:cs="Times New Roman"/>
          <w:sz w:val="24"/>
          <w:szCs w:val="20"/>
          <w:lang w:val="en-US" w:eastAsia="ru-RU"/>
        </w:rPr>
        <w:t xml:space="preserve"> // </w:t>
      </w:r>
      <w:r>
        <w:rPr>
          <w:rFonts w:hint="default" w:ascii="Times New Roman" w:hAnsi="Times New Roman" w:eastAsia="Times New Roman"/>
          <w:sz w:val="24"/>
          <w:szCs w:val="20"/>
          <w:lang w:val="en-US" w:eastAsia="ru-RU"/>
        </w:rPr>
        <w:t>Вестник научного центра по безопасности работ в угольной промышленности</w:t>
      </w:r>
      <w:r>
        <w:rPr>
          <w:rFonts w:hint="default" w:ascii="Times New Roman" w:hAnsi="Times New Roman" w:eastAsia="Times New Roman" w:cs="Times New Roman"/>
          <w:sz w:val="24"/>
          <w:szCs w:val="20"/>
          <w:lang w:val="en-US" w:eastAsia="ru-RU"/>
        </w:rPr>
        <w:t xml:space="preserve"> Сер. «</w:t>
      </w:r>
      <w:r>
        <w:rPr>
          <w:rFonts w:hint="default" w:ascii="Times New Roman" w:hAnsi="Times New Roman" w:eastAsia="Times New Roman"/>
          <w:sz w:val="24"/>
          <w:szCs w:val="20"/>
          <w:lang w:val="en-US" w:eastAsia="ru-RU"/>
        </w:rPr>
        <w:t>Механика и машиностроение</w:t>
      </w:r>
      <w:r>
        <w:rPr>
          <w:rFonts w:hint="default" w:ascii="Times New Roman" w:hAnsi="Times New Roman" w:eastAsia="Times New Roman" w:cs="Times New Roman"/>
          <w:sz w:val="24"/>
          <w:szCs w:val="20"/>
          <w:lang w:val="en-US" w:eastAsia="ru-RU"/>
        </w:rPr>
        <w:t>». 2020. С. 83–89.</w:t>
      </w:r>
    </w:p>
    <w:p w14:paraId="118F888E">
      <w:pPr>
        <w:pStyle w:val="8"/>
        <w:numPr>
          <w:ilvl w:val="0"/>
          <w:numId w:val="2"/>
        </w:numPr>
        <w:ind w:left="709" w:hanging="283"/>
        <w:rPr>
          <w:rFonts w:hint="default" w:ascii="Times New Roman" w:hAnsi="Times New Roman" w:eastAsia="Times New Roman" w:cs="Times New Roman"/>
          <w:sz w:val="24"/>
          <w:szCs w:val="20"/>
          <w:lang w:val="ru-RU" w:eastAsia="ru-RU"/>
        </w:rPr>
      </w:pPr>
      <w:r>
        <w:rPr>
          <w:rFonts w:hint="default" w:ascii="Times New Roman" w:hAnsi="Times New Roman" w:eastAsia="Times New Roman" w:cs="Times New Roman"/>
          <w:sz w:val="24"/>
          <w:szCs w:val="20"/>
          <w:lang w:val="en-US" w:eastAsia="ru-RU"/>
        </w:rPr>
        <w:t>Маллат С. Вейвлеты в обработке сигналов. М.: Мир, 2005. 672 с.</w:t>
      </w:r>
    </w:p>
    <w:sectPr>
      <w:pgSz w:w="11906" w:h="16838"/>
      <w:pgMar w:top="1134" w:right="1361" w:bottom="1259" w:left="1361" w:header="720" w:footer="720"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REG">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6C5BBE"/>
    <w:multiLevelType w:val="multilevel"/>
    <w:tmpl w:val="126C5BBE"/>
    <w:lvl w:ilvl="0" w:tentative="0">
      <w:start w:val="1"/>
      <w:numFmt w:val="decimal"/>
      <w:lvlText w:val="%1."/>
      <w:lvlJc w:val="left"/>
      <w:pPr>
        <w:ind w:left="928" w:hanging="360"/>
      </w:pPr>
      <w:rPr>
        <w:rFonts w:hint="default"/>
        <w:i w:val="0"/>
      </w:rPr>
    </w:lvl>
    <w:lvl w:ilvl="1" w:tentative="0">
      <w:start w:val="1"/>
      <w:numFmt w:val="lowerLetter"/>
      <w:lvlText w:val="%2."/>
      <w:lvlJc w:val="left"/>
      <w:pPr>
        <w:ind w:left="1866" w:hanging="360"/>
      </w:pPr>
    </w:lvl>
    <w:lvl w:ilvl="2" w:tentative="0">
      <w:start w:val="1"/>
      <w:numFmt w:val="lowerRoman"/>
      <w:lvlText w:val="%3."/>
      <w:lvlJc w:val="right"/>
      <w:pPr>
        <w:ind w:left="2586" w:hanging="180"/>
      </w:pPr>
    </w:lvl>
    <w:lvl w:ilvl="3" w:tentative="0">
      <w:start w:val="1"/>
      <w:numFmt w:val="decimal"/>
      <w:lvlText w:val="%4."/>
      <w:lvlJc w:val="left"/>
      <w:pPr>
        <w:ind w:left="3306" w:hanging="360"/>
      </w:pPr>
    </w:lvl>
    <w:lvl w:ilvl="4" w:tentative="0">
      <w:start w:val="1"/>
      <w:numFmt w:val="lowerLetter"/>
      <w:lvlText w:val="%5."/>
      <w:lvlJc w:val="left"/>
      <w:pPr>
        <w:ind w:left="4026" w:hanging="360"/>
      </w:pPr>
    </w:lvl>
    <w:lvl w:ilvl="5" w:tentative="0">
      <w:start w:val="1"/>
      <w:numFmt w:val="lowerRoman"/>
      <w:lvlText w:val="%6."/>
      <w:lvlJc w:val="right"/>
      <w:pPr>
        <w:ind w:left="4746" w:hanging="180"/>
      </w:pPr>
    </w:lvl>
    <w:lvl w:ilvl="6" w:tentative="0">
      <w:start w:val="1"/>
      <w:numFmt w:val="decimal"/>
      <w:lvlText w:val="%7."/>
      <w:lvlJc w:val="left"/>
      <w:pPr>
        <w:ind w:left="5466" w:hanging="360"/>
      </w:pPr>
    </w:lvl>
    <w:lvl w:ilvl="7" w:tentative="0">
      <w:start w:val="1"/>
      <w:numFmt w:val="lowerLetter"/>
      <w:lvlText w:val="%8."/>
      <w:lvlJc w:val="left"/>
      <w:pPr>
        <w:ind w:left="6186" w:hanging="360"/>
      </w:pPr>
    </w:lvl>
    <w:lvl w:ilvl="8" w:tentative="0">
      <w:start w:val="1"/>
      <w:numFmt w:val="lowerRoman"/>
      <w:lvlText w:val="%9."/>
      <w:lvlJc w:val="right"/>
      <w:pPr>
        <w:ind w:left="6906" w:hanging="180"/>
      </w:pPr>
    </w:lvl>
  </w:abstractNum>
  <w:abstractNum w:abstractNumId="1">
    <w:nsid w:val="6D0D7A4B"/>
    <w:multiLevelType w:val="singleLevel"/>
    <w:tmpl w:val="6D0D7A4B"/>
    <w:lvl w:ilvl="0" w:tentative="0">
      <w:start w:val="1"/>
      <w:numFmt w:val="decimal"/>
      <w:lvlText w:val="%1."/>
      <w:lvlJc w:val="left"/>
      <w:pPr>
        <w:tabs>
          <w:tab w:val="left" w:pos="425"/>
        </w:tabs>
        <w:ind w:left="425" w:leftChars="0" w:hanging="425" w:firstLineChars="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3E72E8"/>
    <w:rsid w:val="0FB21EAE"/>
    <w:rsid w:val="1CEF57D5"/>
    <w:rsid w:val="494B1C3C"/>
    <w:rsid w:val="49E51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34" w:semiHidden="0" w:name="List Paragraph"/>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Emphasis"/>
    <w:basedOn w:val="2"/>
    <w:qFormat/>
    <w:uiPriority w:val="0"/>
    <w:rPr>
      <w:i/>
      <w:iCs/>
    </w:rPr>
  </w:style>
  <w:style w:type="character" w:styleId="5">
    <w:name w:val="Hyperlink"/>
    <w:basedOn w:val="2"/>
    <w:qFormat/>
    <w:uiPriority w:val="0"/>
    <w:rPr>
      <w:color w:val="0000FF"/>
      <w:u w:val="single"/>
    </w:rPr>
  </w:style>
  <w:style w:type="character" w:styleId="6">
    <w:name w:val="Strong"/>
    <w:basedOn w:val="2"/>
    <w:qFormat/>
    <w:uiPriority w:val="0"/>
    <w:rPr>
      <w:b/>
      <w:bCs/>
    </w:rPr>
  </w:style>
  <w:style w:type="paragraph" w:styleId="7">
    <w:name w:val="Normal (Web)"/>
    <w:basedOn w:val="1"/>
    <w:qFormat/>
    <w:uiPriority w:val="0"/>
    <w:rPr>
      <w:sz w:val="24"/>
      <w:szCs w:val="24"/>
    </w:rPr>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32</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2026-02-05T07:06:00Z</dcterms:created>
  <dc:creator>kostg</dc:creator>
  <cp:lastModifiedBy>kostg</cp:lastModifiedBy>
  <dcterms:modified xsi:type="dcterms:W3CDTF">2026-03-16T10:21:56Z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7C3362F93FCD4B3EB340B54FF20F33EF_13</vt:lpwstr>
  </property>
</Properties>
</file>