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lang w:val="ru-RU"/>
        </w:rPr>
        <w:t>Геймификация и VR-технологии в преподавании устного и синхронного перевода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br w:type="textWrapping"/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>Константинов Илья Алексеевич</w:t>
      </w:r>
    </w:p>
    <w:p>
      <w:pPr>
        <w:spacing w:line="240" w:lineRule="auto"/>
        <w:jc w:val="center"/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ru-RU"/>
        </w:rPr>
        <w:t>аспирант</w:t>
      </w:r>
    </w:p>
    <w:p>
      <w:pPr>
        <w:spacing w:line="240" w:lineRule="auto"/>
        <w:jc w:val="center"/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  <w:t>Московский государственный университет имени М.В.Ломоносова,</w:t>
      </w:r>
    </w:p>
    <w:p>
      <w:pPr>
        <w:spacing w:line="240" w:lineRule="auto"/>
        <w:jc w:val="center"/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  <w:t>Высшая школа перевода (факультет), Москва, Россия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  <w:t xml:space="preserve">E–mail: </w:t>
      </w: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en-US" w:eastAsia="zh-CN"/>
        </w:rPr>
        <w:fldChar w:fldCharType="begin"/>
      </w: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en-US" w:eastAsia="zh-CN"/>
        </w:rPr>
        <w:instrText xml:space="preserve"> HYPERLINK "mailto:lightcn@yandex.ru" </w:instrText>
      </w: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en-US" w:eastAsia="zh-CN"/>
        </w:rPr>
        <w:fldChar w:fldCharType="separate"/>
      </w:r>
      <w:r>
        <w:rPr>
          <w:rStyle w:val="4"/>
          <w:rFonts w:hint="default" w:ascii="Times New Roman" w:hAnsi="Times New Roman"/>
          <w:b w:val="0"/>
          <w:bCs w:val="0"/>
          <w:i/>
          <w:iCs/>
          <w:sz w:val="24"/>
          <w:szCs w:val="24"/>
          <w:lang w:val="en-US" w:eastAsia="zh-CN"/>
        </w:rPr>
        <w:t>lightcn</w:t>
      </w:r>
      <w:r>
        <w:rPr>
          <w:rStyle w:val="4"/>
          <w:rFonts w:hint="default" w:ascii="Times New Roman" w:hAnsi="Times New Roman"/>
          <w:b w:val="0"/>
          <w:bCs w:val="0"/>
          <w:i/>
          <w:iCs/>
          <w:sz w:val="24"/>
          <w:szCs w:val="24"/>
          <w:lang w:val="ru-RU"/>
        </w:rPr>
        <w:t>@yandex.ru</w:t>
      </w:r>
      <w:r>
        <w:rPr>
          <w:rFonts w:hint="default" w:ascii="Times New Roman" w:hAnsi="Times New Roman"/>
          <w:b w:val="0"/>
          <w:bCs w:val="0"/>
          <w:i/>
          <w:iCs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165" w:firstLineChars="69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 xml:space="preserve">Подготовка синхронных переводчиков традиционно сталкивается с проблемой моделирования стрессовых факторов реальной коммуникации. В отличие от письменного перевода, где возможна работа со словарями и редактирование текста перевода, устный последовательный и синхронный перевод протекают в условиях ограничений по времени, многозадачности и психологического давления.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165" w:firstLineChars="69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>Учебная аудитория не способна воспроизвести такие значимые элементы рабочей среды, как визуальный шум, присутствие делегатов, технические сбои оборудования или акцент спикера</w:t>
      </w: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en-US"/>
        </w:rPr>
        <w:t xml:space="preserve"> [1]</w:t>
      </w: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>. В результате сформированный в идеальных условиях навык часто оказывается несостоятельным при первом опыте работы в реальной кабине синхрониста [</w:t>
      </w: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en-US"/>
        </w:rPr>
        <w:t>2</w:t>
      </w: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 xml:space="preserve">].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165" w:firstLineChars="69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 xml:space="preserve">Виртуальная реальность позволяет принципиально изменить ситуацию благодаря созданию эффекта полного погружения. Студент в VR-шлеме воспринимает происходящее не как учебное упражнение, а как реальную конференцию или переговоры. Это запускает механизмы психологического стресса, близкие к настоящей работе, и одновременно позволяет безопасно их проживать и преодолевать в рамках учебного процесса. Моделирование экстремальных сценариев становится доступным без риска срыва реального мероприятия [3].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165" w:firstLineChars="69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 xml:space="preserve">Геймификация в свою очередь решает проблему мотивации при отработке переводческих навыков. Перевод - это дисциплина, требующая постоянных тренировок скороговорения, удержания внимания и скорости реакции. Игровой формат данных упражнений, создание соревновательных элементов и достижений позволяет поддерживать вовлеченность студентов на высоком уровне. Цифровая среда даёт возможность мгновенной обратной связи и объективной аналитики </w:t>
      </w: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en-US" w:eastAsia="zh-CN"/>
        </w:rPr>
        <w:t>[4]</w:t>
      </w: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>. Программа фиксирует паузы и точность перевода, что делает оценку прогресса более прозрачной.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165" w:firstLineChars="69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 xml:space="preserve">Цель работы - систематизировать современный опыт применения технологий виртуальной реальности и элементов геймификации в подготовке устных и синхронных переводчиков, а также определить перспективные направления их интеграции в образовательный процесс.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165" w:firstLineChars="69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 xml:space="preserve">Задачи: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97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 xml:space="preserve">Проанализировать потенциал VR-технологий для моделирования стрессовых факторов и коммуникативных ситуаций в обучении устному переводу.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97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 xml:space="preserve">Рассмотреть игровые механики как инструмент повышения мотивации и отработки технических навыков перевода.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97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>Обозначить перспективные направления исследований в области цифровизации переводческого образования.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165" w:firstLineChars="69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>Проведённый</w:t>
      </w: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en-US"/>
        </w:rPr>
        <w:t xml:space="preserve"> анализ зарубежного и российского опыта показывает, что применение VR-технологий в обучении устному переводу находится на стадии активного становления. Исследования демонстрируют значительный потенциал виртуальной среды для создания психологически безопасного учебного пространства, моделирования стрессовых факторов реальной коммуникации и отработки навыков последовательного и синхронного перевода в различных языковых парах</w:t>
      </w:r>
      <w:r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ru-RU"/>
        </w:rPr>
        <w:t xml:space="preserve"> [5].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4"/>
          <w:szCs w:val="24"/>
          <w:lang w:val="en-US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97"/>
        <w:jc w:val="both"/>
        <w:textAlignment w:val="auto"/>
        <w:rPr>
          <w:rFonts w:hint="default" w:ascii="Times New Roman" w:hAnsi="Times New Roman"/>
          <w:b/>
          <w:bCs/>
          <w:i w:val="0"/>
          <w:iCs w:val="0"/>
          <w:sz w:val="22"/>
          <w:szCs w:val="22"/>
          <w:lang w:val="ru-RU"/>
        </w:rPr>
      </w:pPr>
      <w:r>
        <w:rPr>
          <w:rFonts w:hint="default" w:ascii="Times New Roman" w:hAnsi="Times New Roman"/>
          <w:b/>
          <w:bCs/>
          <w:i w:val="0"/>
          <w:iCs w:val="0"/>
          <w:sz w:val="22"/>
          <w:szCs w:val="22"/>
          <w:lang w:val="ru-RU"/>
        </w:rPr>
        <w:t>Литература</w:t>
      </w:r>
    </w:p>
    <w:p>
      <w:pPr>
        <w:rPr>
          <w:sz w:val="22"/>
          <w:szCs w:val="22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97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Осиповская Е. Подходы по внедрению инноваций в образовании: технологические и методические аспекты / Осиповская Е.А. // Информатизация образования и методика электронного обучения: цифровые технологии в образовании. 2021. С. 380-383.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(дата обращения: 0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>1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.03.2026)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br w:type="textWrapping"/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97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Сельченок А. Геймификация и VR-технологии в образовании: тенденции и вызовы / Сельченок А.К., Берест В.А. // Информатизация образования и методика электронного обучения: цифровые технологии в образовании. 2023. С. 876-880.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(дата обращения: 0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>2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.03.2026)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br w:type="textWrapping"/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97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Стенько И.А., Волкова Н.С., Стенько А.И. Иммерсивные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технологии виртуальной реальности в преподавании делового английского языка на примере РУДН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им. П. Лумумбы: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текущее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состояние и перспективы // Litera. 2025. № 5.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С. 444-456.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(дата обращения: 0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>2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.03.2026)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br w:type="textWrapping"/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97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Котов Роман Михайлович, Крюк Роман Владимирович, Туров Семен Валерьевич Перспектива развития VR-технологий в образовании и социальной жизни // Виртуальная коммуникация и социальные сети. 2024. №2. URL: https://cyberleninka.ru/article/n/perspektiva-razvitiya-vr-tehnologiy-v-obrazovanii-i-sotsialnoy-zhizni (дата обращения: 0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>3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.03.2026).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br w:type="textWrapping"/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97"/>
        <w:jc w:val="both"/>
        <w:textAlignment w:val="auto"/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</w:pP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Корнеева Лариса Ивановна, Васильева Валерия Игоревна Зарубежный и российский опыт применения VR-технологии для обучения устному переводу: теоретический анализ и перспективные направления исследований // Педагогика. Вопросы теории и практики. 2026. №1. URL: https://cyberleninka.ru/article/n/zarubezhnyy-i-rossiyskiy-opyt-primeneniya-vr-tehnologii-dlya-obucheniya-ustnomu-perevodu-teoreticheskiy-analiz-i-perspektivnye (дата обращения: 0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en-US"/>
        </w:rPr>
        <w:t>3</w:t>
      </w:r>
      <w:r>
        <w:rPr>
          <w:rFonts w:hint="default" w:ascii="Times New Roman" w:hAnsi="Times New Roman"/>
          <w:b w:val="0"/>
          <w:bCs w:val="0"/>
          <w:i w:val="0"/>
          <w:iCs w:val="0"/>
          <w:sz w:val="22"/>
          <w:szCs w:val="22"/>
          <w:lang w:val="ru-RU"/>
        </w:rPr>
        <w:t>.03.2026).</w:t>
      </w:r>
    </w:p>
    <w:sectPr>
      <w:pgSz w:w="11906" w:h="16838"/>
      <w:pgMar w:top="1134" w:right="1361" w:bottom="1134" w:left="136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1238FC"/>
    <w:multiLevelType w:val="singleLevel"/>
    <w:tmpl w:val="A21238F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A46A328"/>
    <w:multiLevelType w:val="singleLevel"/>
    <w:tmpl w:val="2A46A32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063FA"/>
    <w:rsid w:val="157C7EF8"/>
    <w:rsid w:val="53124FDB"/>
    <w:rsid w:val="66E12302"/>
    <w:rsid w:val="6A261D71"/>
    <w:rsid w:val="72B638D3"/>
    <w:rsid w:val="76D7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2026-03-09T18:26:00Z</dcterms:created>
  <dc:creator>Light</dc:creator>
  <cp:lastModifiedBy>teacher</cp:lastModifiedBy>
  <dcterms:modified xsi:type="dcterms:W3CDTF">2026-04-23T11:14:21Z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F73EB016A5024FB49B1F6A5BE494BD0F</vt:lpwstr>
  </property>
</Properties>
</file>