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F0FDE" w14:textId="422A0385" w:rsidR="0068059B" w:rsidRDefault="008257DB" w:rsidP="00047C19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Подходы</w:t>
      </w:r>
      <w:r w:rsidR="00047C19">
        <w:rPr>
          <w:rFonts w:ascii="Times New Roman" w:hAnsi="Times New Roman" w:cs="Times New Roman"/>
          <w:b/>
          <w:bCs/>
        </w:rPr>
        <w:t xml:space="preserve"> к</w:t>
      </w:r>
      <w:r>
        <w:rPr>
          <w:rFonts w:ascii="Times New Roman" w:hAnsi="Times New Roman" w:cs="Times New Roman"/>
          <w:b/>
          <w:bCs/>
        </w:rPr>
        <w:t xml:space="preserve"> перевод</w:t>
      </w:r>
      <w:r w:rsidR="00047C19">
        <w:rPr>
          <w:rFonts w:ascii="Times New Roman" w:hAnsi="Times New Roman" w:cs="Times New Roman"/>
          <w:b/>
          <w:bCs/>
        </w:rPr>
        <w:t>у</w:t>
      </w:r>
      <w:r>
        <w:rPr>
          <w:rFonts w:ascii="Times New Roman" w:hAnsi="Times New Roman" w:cs="Times New Roman"/>
          <w:b/>
          <w:bCs/>
        </w:rPr>
        <w:t xml:space="preserve"> китайских аббревиатур на русский язык</w:t>
      </w:r>
    </w:p>
    <w:p w14:paraId="5F71FE00" w14:textId="77777777" w:rsidR="0068059B" w:rsidRDefault="0068059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2CB4089" w14:textId="77777777" w:rsidR="0068059B" w:rsidRDefault="008257DB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</w:rPr>
      </w:pPr>
      <w:proofErr w:type="gramStart"/>
      <w:r>
        <w:rPr>
          <w:rFonts w:ascii="Times New Roman" w:eastAsia="SimSun" w:hAnsi="Times New Roman" w:cs="Times New Roman"/>
          <w:b/>
          <w:bCs/>
          <w:i/>
          <w:iCs/>
          <w:kern w:val="2"/>
        </w:rPr>
        <w:t>У</w:t>
      </w:r>
      <w:proofErr w:type="gramEnd"/>
      <w:r>
        <w:rPr>
          <w:rFonts w:ascii="Times New Roman" w:eastAsia="SimSun" w:hAnsi="Times New Roman" w:cs="Times New Roman"/>
          <w:b/>
          <w:bCs/>
          <w:i/>
          <w:iCs/>
          <w:kern w:val="2"/>
        </w:rPr>
        <w:t xml:space="preserve"> Тун</w:t>
      </w:r>
    </w:p>
    <w:p w14:paraId="5A77B0D1" w14:textId="77777777" w:rsidR="0068059B" w:rsidRDefault="008257DB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i/>
          <w:iCs/>
          <w:color w:val="000000" w:themeColor="text1"/>
          <w:kern w:val="2"/>
        </w:rPr>
      </w:pPr>
      <w:r>
        <w:rPr>
          <w:rFonts w:ascii="Times New Roman" w:eastAsia="SimSun" w:hAnsi="Times New Roman" w:cs="Times New Roman"/>
          <w:i/>
          <w:iCs/>
          <w:color w:val="000000" w:themeColor="text1"/>
          <w:kern w:val="2"/>
        </w:rPr>
        <w:t>Аспирант</w:t>
      </w:r>
    </w:p>
    <w:p w14:paraId="3CC73517" w14:textId="77777777" w:rsidR="0068059B" w:rsidRDefault="008257DB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i/>
          <w:iCs/>
          <w:color w:val="000000" w:themeColor="text1"/>
          <w:kern w:val="2"/>
        </w:rPr>
      </w:pPr>
      <w:r>
        <w:rPr>
          <w:rFonts w:ascii="Times New Roman" w:eastAsia="Roboto" w:hAnsi="Times New Roman" w:cs="Times New Roman"/>
          <w:i/>
          <w:iCs/>
          <w:color w:val="000000" w:themeColor="text1"/>
          <w:kern w:val="2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Roboto" w:hAnsi="Times New Roman" w:cs="Times New Roman"/>
          <w:i/>
          <w:iCs/>
          <w:color w:val="000000" w:themeColor="text1"/>
          <w:kern w:val="2"/>
        </w:rPr>
        <w:t>М.В.Ломоносова</w:t>
      </w:r>
      <w:proofErr w:type="spellEnd"/>
      <w:r>
        <w:rPr>
          <w:rFonts w:ascii="Times New Roman" w:eastAsia="Roboto" w:hAnsi="Times New Roman" w:cs="Times New Roman"/>
          <w:i/>
          <w:iCs/>
          <w:color w:val="000000" w:themeColor="text1"/>
          <w:kern w:val="2"/>
        </w:rPr>
        <w:t>,</w:t>
      </w:r>
    </w:p>
    <w:p w14:paraId="414C942A" w14:textId="77777777" w:rsidR="0068059B" w:rsidRDefault="008257DB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i/>
          <w:iCs/>
          <w:color w:val="000000" w:themeColor="text1"/>
          <w:kern w:val="2"/>
        </w:rPr>
      </w:pPr>
      <w:r>
        <w:rPr>
          <w:rFonts w:ascii="Times New Roman" w:eastAsia="Roboto" w:hAnsi="Times New Roman" w:cs="Times New Roman"/>
          <w:i/>
          <w:iCs/>
          <w:color w:val="000000" w:themeColor="text1"/>
          <w:kern w:val="2"/>
        </w:rPr>
        <w:t>Высшая школа перевода</w:t>
      </w:r>
      <w:r>
        <w:rPr>
          <w:rFonts w:ascii="Times New Roman" w:eastAsia="SimSun" w:hAnsi="Times New Roman" w:cs="Times New Roman"/>
          <w:i/>
          <w:iCs/>
          <w:color w:val="000000" w:themeColor="text1"/>
          <w:kern w:val="2"/>
        </w:rPr>
        <w:t xml:space="preserve"> </w:t>
      </w:r>
      <w:r>
        <w:rPr>
          <w:rFonts w:ascii="Times New Roman" w:eastAsia="Roboto" w:hAnsi="Times New Roman" w:cs="Times New Roman"/>
          <w:i/>
          <w:iCs/>
          <w:color w:val="000000" w:themeColor="text1"/>
          <w:kern w:val="2"/>
        </w:rPr>
        <w:t>(факультет), Москва, Россия</w:t>
      </w:r>
    </w:p>
    <w:p w14:paraId="31DCDCCF" w14:textId="77777777" w:rsidR="0068059B" w:rsidRDefault="008257DB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i/>
          <w:iCs/>
          <w:color w:val="000000" w:themeColor="text1"/>
          <w:kern w:val="2"/>
        </w:rPr>
      </w:pPr>
      <w:r>
        <w:rPr>
          <w:rFonts w:ascii="Times New Roman" w:eastAsia="Roboto" w:hAnsi="Times New Roman" w:cs="Times New Roman"/>
          <w:i/>
          <w:iCs/>
          <w:color w:val="000000" w:themeColor="text1"/>
          <w:kern w:val="2"/>
          <w:lang w:val="en-US"/>
        </w:rPr>
        <w:t>E</w:t>
      </w:r>
      <w:r>
        <w:rPr>
          <w:rFonts w:ascii="Times New Roman" w:eastAsia="Roboto" w:hAnsi="Times New Roman" w:cs="Times New Roman"/>
          <w:i/>
          <w:iCs/>
          <w:color w:val="000000" w:themeColor="text1"/>
          <w:kern w:val="2"/>
        </w:rPr>
        <w:t>-</w:t>
      </w:r>
      <w:r>
        <w:rPr>
          <w:rFonts w:ascii="Times New Roman" w:eastAsia="Roboto" w:hAnsi="Times New Roman" w:cs="Times New Roman"/>
          <w:i/>
          <w:iCs/>
          <w:color w:val="000000" w:themeColor="text1"/>
          <w:kern w:val="2"/>
          <w:lang w:val="en-US"/>
        </w:rPr>
        <w:t>mail</w:t>
      </w:r>
      <w:r>
        <w:rPr>
          <w:rFonts w:ascii="Times New Roman" w:eastAsia="Roboto" w:hAnsi="Times New Roman" w:cs="Times New Roman"/>
          <w:i/>
          <w:iCs/>
          <w:color w:val="000000" w:themeColor="text1"/>
          <w:kern w:val="2"/>
        </w:rPr>
        <w:t xml:space="preserve">: </w:t>
      </w:r>
      <w:r>
        <w:rPr>
          <w:rFonts w:ascii="Times New Roman" w:hAnsi="Times New Roman" w:cs="Times New Roman"/>
          <w:i/>
          <w:iCs/>
        </w:rPr>
        <w:t>wutong2023@mail.ru</w:t>
      </w:r>
    </w:p>
    <w:p w14:paraId="010FCAF8" w14:textId="77777777" w:rsidR="0068059B" w:rsidRDefault="0068059B">
      <w:pPr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 w:themeColor="text1"/>
          <w:kern w:val="2"/>
        </w:rPr>
      </w:pPr>
    </w:p>
    <w:p w14:paraId="55EA306F" w14:textId="77777777" w:rsidR="0068059B" w:rsidRDefault="008257DB">
      <w:pPr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Raleway" w:hAnsi="Times New Roman" w:cs="Times New Roman"/>
          <w:color w:val="000000" w:themeColor="text1"/>
          <w:shd w:val="clear" w:color="auto" w:fill="FFFFFF"/>
          <w:lang w:bidi="ar"/>
        </w:rPr>
        <w:t>Развитие общества и ускорение темпа жизни привели к ши</w:t>
      </w:r>
      <w:r>
        <w:rPr>
          <w:rFonts w:ascii="Times New Roman" w:eastAsia="Raleway" w:hAnsi="Times New Roman" w:cs="Times New Roman"/>
          <w:color w:val="000000"/>
          <w:shd w:val="clear" w:color="auto" w:fill="FFFFFF"/>
          <w:lang w:bidi="ar"/>
        </w:rPr>
        <w:t xml:space="preserve">рокому распространению аббревиатур. Аббревиация стала одной </w:t>
      </w:r>
      <w:proofErr w:type="gramStart"/>
      <w:r>
        <w:rPr>
          <w:rFonts w:ascii="Times New Roman" w:eastAsia="Raleway" w:hAnsi="Times New Roman" w:cs="Times New Roman"/>
          <w:color w:val="000000"/>
          <w:shd w:val="clear" w:color="auto" w:fill="FFFFFF"/>
          <w:lang w:bidi="ar"/>
        </w:rPr>
        <w:t>из</w:t>
      </w:r>
      <w:proofErr w:type="gramEnd"/>
      <w:r>
        <w:rPr>
          <w:rFonts w:ascii="Times New Roman" w:eastAsia="Raleway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gramStart"/>
      <w:r>
        <w:rPr>
          <w:rFonts w:ascii="Times New Roman" w:eastAsia="Raleway" w:hAnsi="Times New Roman" w:cs="Times New Roman"/>
          <w:color w:val="000000"/>
          <w:shd w:val="clear" w:color="auto" w:fill="FFFFFF"/>
          <w:lang w:bidi="ar"/>
        </w:rPr>
        <w:t>тенденцией</w:t>
      </w:r>
      <w:proofErr w:type="gramEnd"/>
      <w:r>
        <w:rPr>
          <w:rFonts w:ascii="Times New Roman" w:eastAsia="Raleway" w:hAnsi="Times New Roman" w:cs="Times New Roman"/>
          <w:color w:val="000000"/>
          <w:shd w:val="clear" w:color="auto" w:fill="FFFFFF"/>
          <w:lang w:bidi="ar"/>
        </w:rPr>
        <w:t xml:space="preserve"> в пополнении лексики языка. 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Аббревиатуры экономят время, повышают коммуникативную эффективность и упрощают обмен информацией. </w:t>
      </w:r>
    </w:p>
    <w:p w14:paraId="30C0FEE2" w14:textId="77777777" w:rsidR="0068059B" w:rsidRDefault="008257DB">
      <w:pPr>
        <w:widowControl w:val="0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SimSun" w:hAnsi="Times New Roman" w:cs="Times New Roman"/>
          <w:kern w:val="2"/>
        </w:rPr>
        <w:t xml:space="preserve">В последние годы постоянно растёт интерес к переводу аббревиатур. Они содержат важную политическую и культурную информацию. </w:t>
      </w:r>
      <w:r>
        <w:rPr>
          <w:rFonts w:ascii="Times New Roman" w:eastAsia="Raleway" w:hAnsi="Times New Roman" w:cs="Times New Roman"/>
          <w:color w:val="000000" w:themeColor="text1"/>
          <w:shd w:val="clear" w:color="auto" w:fill="FFFFFF"/>
          <w:lang w:bidi="ar"/>
        </w:rPr>
        <w:t>Обеспечение точности и культурной адекватности при переводе этих аббревиатур является важной задачей для китайско-русского языкового обмена.</w:t>
      </w:r>
      <w:r>
        <w:rPr>
          <w:rFonts w:ascii="Times New Roman" w:eastAsia="SimSun" w:hAnsi="Times New Roman" w:cs="Times New Roman"/>
          <w:color w:val="000000" w:themeColor="text1"/>
          <w:shd w:val="clear" w:color="auto" w:fill="FFFFFF"/>
          <w:lang w:bidi="ar"/>
        </w:rPr>
        <w:t xml:space="preserve"> Исследование аббревиатур и </w:t>
      </w:r>
      <w:r>
        <w:rPr>
          <w:rFonts w:ascii="Times New Roman" w:hAnsi="Times New Roman" w:cs="Times New Roman"/>
          <w:color w:val="000000" w:themeColor="text1"/>
        </w:rPr>
        <w:t xml:space="preserve">методов </w:t>
      </w:r>
      <w:r>
        <w:rPr>
          <w:rFonts w:ascii="Times New Roman" w:eastAsia="SimSun" w:hAnsi="Times New Roman" w:cs="Times New Roman"/>
          <w:color w:val="000000" w:themeColor="text1"/>
          <w:shd w:val="clear" w:color="auto" w:fill="FFFFFF"/>
          <w:lang w:bidi="ar"/>
        </w:rPr>
        <w:t xml:space="preserve">их перевода имеет </w:t>
      </w:r>
      <w:proofErr w:type="gramStart"/>
      <w:r>
        <w:rPr>
          <w:rFonts w:ascii="Times New Roman" w:eastAsia="SimSun" w:hAnsi="Times New Roman" w:cs="Times New Roman"/>
          <w:color w:val="000000" w:themeColor="text1"/>
          <w:shd w:val="clear" w:color="auto" w:fill="FFFFFF"/>
          <w:lang w:bidi="ar"/>
        </w:rPr>
        <w:t>важное значение</w:t>
      </w:r>
      <w:proofErr w:type="gramEnd"/>
      <w:r>
        <w:rPr>
          <w:rFonts w:ascii="Times New Roman" w:eastAsia="SimSun" w:hAnsi="Times New Roman" w:cs="Times New Roman"/>
          <w:color w:val="000000" w:themeColor="text1"/>
          <w:shd w:val="clear" w:color="auto" w:fill="FFFFFF"/>
          <w:lang w:bidi="ar"/>
        </w:rPr>
        <w:t xml:space="preserve"> для изучения и практики китайско-русского перевода, а также помогает преодолеть культурные барьеры и трудности перевода.</w:t>
      </w:r>
    </w:p>
    <w:p w14:paraId="799D860A" w14:textId="77777777" w:rsidR="0068059B" w:rsidRDefault="008257DB">
      <w:pPr>
        <w:widowControl w:val="0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Объединив результаты исследований китайского ученого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Цзэн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Цзяньпин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r>
        <w:rPr>
          <w:rFonts w:ascii="Times New Roman" w:eastAsia="SimSun" w:hAnsi="Times New Roman" w:cs="Times New Roman" w:hint="eastAsia"/>
          <w:color w:val="000000"/>
          <w:shd w:val="clear" w:color="auto" w:fill="FFFFFF"/>
          <w:lang w:bidi="ar"/>
        </w:rPr>
        <w:t>[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2</w:t>
      </w:r>
      <w:r>
        <w:rPr>
          <w:rFonts w:ascii="Times New Roman" w:eastAsia="SimSun" w:hAnsi="Times New Roman" w:cs="Times New Roman" w:hint="eastAsia"/>
          <w:color w:val="000000"/>
          <w:shd w:val="clear" w:color="auto" w:fill="FFFFFF"/>
          <w:lang w:bidi="ar"/>
        </w:rPr>
        <w:t xml:space="preserve">] 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и российского ученого А.Л. Семенаса</w:t>
      </w:r>
      <w:r>
        <w:rPr>
          <w:rFonts w:ascii="Times New Roman" w:eastAsia="SimSun" w:hAnsi="Times New Roman" w:cs="Times New Roman" w:hint="eastAsia"/>
          <w:color w:val="000000"/>
          <w:shd w:val="clear" w:color="auto" w:fill="FFFFFF"/>
          <w:lang w:bidi="ar"/>
        </w:rPr>
        <w:t xml:space="preserve"> [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1</w:t>
      </w:r>
      <w:r>
        <w:rPr>
          <w:rFonts w:ascii="Times New Roman" w:eastAsia="SimSun" w:hAnsi="Times New Roman" w:cs="Times New Roman" w:hint="eastAsia"/>
          <w:color w:val="000000"/>
          <w:shd w:val="clear" w:color="auto" w:fill="FFFFFF"/>
          <w:lang w:bidi="ar"/>
        </w:rPr>
        <w:t>]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, мы пришли к выводу, что китайские аббревиатуры делятся на четыре типа: комбинаторная аббревиатура, концентрированная аббревиатура, цифровая аббревиатура, частичная аббревиатура. </w:t>
      </w:r>
    </w:p>
    <w:p w14:paraId="39CFAB07" w14:textId="616DB1D7" w:rsidR="0068059B" w:rsidRDefault="008257DB" w:rsidP="00047C19">
      <w:pPr>
        <w:widowControl w:val="0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Мы обобщаем различные взгляды китайских и российских ученых на подход </w:t>
      </w:r>
      <w:r w:rsidR="00047C19"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к переводу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аббревиатур. Согласно их исследованию, при переводе аббревиатур стратегии перевода должны гибко подбираться в зависимости от различных ситуаций. Проведя сравнительный анализ, мы выделили </w:t>
      </w:r>
      <w:proofErr w:type="gram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четыре основ</w:t>
      </w:r>
      <w:r w:rsidR="00047C19"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ные подхода</w:t>
      </w:r>
      <w:bookmarkStart w:id="0" w:name="_GoBack"/>
      <w:bookmarkEnd w:id="0"/>
      <w:proofErr w:type="gram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: прямой перевод, прямой перевод с комментариями, объяснительный перевод и расшифровка. Эти эффективные стратегии перевода призваны обеспечить точность и беглость передачи информации. Например: 1. «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一带一路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yī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dài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yī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lù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» – «пояс и путь» - аббревиатура, имеющая большое политическое и экономическое значение. Она имеет фиксированный перевод и получила широкое признание в международном сообществе. Поэтому мы выбираем прямой перевод, который может эффективно передать основную суть этой стратегии. Вместо того чтобы выбрать пояснительный перевод: "Экономический пояс Шелкового пути" и "Морской шелковый путь 21 века". </w:t>
      </w:r>
    </w:p>
    <w:p w14:paraId="7A99A982" w14:textId="77777777" w:rsidR="0068059B" w:rsidRDefault="008257DB">
      <w:pPr>
        <w:widowControl w:val="0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2. «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京津冀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Jīng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Jīn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Jì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» – это сокращение от административного района, состоящего из провинций Пекин,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Тяньцзинь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Хэбэй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.  «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京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Jīng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» расшифровывается как "Пекин" (столица); «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津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Jīn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» расшифровывается как "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Тяньцзинь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" (город центрального подчинения). «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冀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Jì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» расшифровывается как "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Хэбэй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" (провинциальный административный район). Следует отметить, что аббревиатуры административных единиц Китая могут быть трудными для понимания русскоязычными читателями, особенно когда речь заходит о конкретных географических названиях и административных единицах деления. Таким образом, переводчик здесь употребляет расшифровку. </w:t>
      </w:r>
    </w:p>
    <w:p w14:paraId="3D5D9F80" w14:textId="77777777" w:rsidR="0068059B" w:rsidRDefault="008257DB">
      <w:pPr>
        <w:widowControl w:val="0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В заключение следует отметить, что перевод китайских аббревиатур – это многоуровневый и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многостратегический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процесс. Выбор правильного подхода перевода не только обеспечивает точную передачу информации, но и улучшает ее восприятие целевой языковой аудиторией. Это может способствовать развитию политической коммуникации и культурного обмена между Китаем и Россией.</w:t>
      </w:r>
    </w:p>
    <w:p w14:paraId="2723FF02" w14:textId="77777777" w:rsidR="0068059B" w:rsidRDefault="0068059B">
      <w:pPr>
        <w:widowControl w:val="0"/>
        <w:adjustRightInd w:val="0"/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</w:p>
    <w:p w14:paraId="64B3D906" w14:textId="77777777" w:rsidR="0068059B" w:rsidRDefault="008257D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Список использованной литературы</w:t>
      </w:r>
    </w:p>
    <w:p w14:paraId="4243BF81" w14:textId="77777777" w:rsidR="0068059B" w:rsidRDefault="008257DB">
      <w:pPr>
        <w:widowControl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1.  Семенас А.Л. Лексика китайского язык</w:t>
      </w:r>
      <w:proofErr w:type="gram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а[</w:t>
      </w:r>
      <w:proofErr w:type="gram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М]. М.: АСТ: Восток-Запад.2005. С. 112.</w:t>
      </w:r>
    </w:p>
    <w:p w14:paraId="7810E0C3" w14:textId="77777777" w:rsidR="0068059B" w:rsidRDefault="008257DB">
      <w:pPr>
        <w:widowControl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2. </w:t>
      </w:r>
      <w:r>
        <w:rPr>
          <w:rFonts w:ascii="Times New Roman" w:eastAsia="SimSun" w:hAnsi="Times New Roman" w:cs="Times New Roman" w:hint="eastAsia"/>
          <w:color w:val="000000"/>
          <w:shd w:val="clear" w:color="auto" w:fill="FFFFFF"/>
          <w:lang w:bidi="ar"/>
        </w:rPr>
        <w:t>曾剑平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. 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汉语缩略语及其翻译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. 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中国科技翻译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Цзэн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Цзяньпин</w:t>
      </w:r>
      <w:proofErr w:type="spell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t xml:space="preserve"> Китайские </w:t>
      </w:r>
      <w:r>
        <w:rPr>
          <w:rFonts w:ascii="Times New Roman" w:eastAsia="SimSun" w:hAnsi="Times New Roman" w:cs="Times New Roman"/>
          <w:color w:val="000000"/>
          <w:shd w:val="clear" w:color="auto" w:fill="FFFFFF"/>
          <w:lang w:bidi="ar"/>
        </w:rPr>
        <w:lastRenderedPageBreak/>
        <w:t>аббревиатуры и их переводы. Научно-технический перевод на китайский язык), 2003. С. 58.</w:t>
      </w:r>
    </w:p>
    <w:sectPr w:rsidR="0068059B">
      <w:pgSz w:w="11906" w:h="16838"/>
      <w:pgMar w:top="1134" w:right="1361" w:bottom="1134" w:left="136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ngXian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Roboto">
    <w:charset w:val="00"/>
    <w:family w:val="auto"/>
    <w:pitch w:val="default"/>
    <w:sig w:usb0="00000000" w:usb1="00000000" w:usb2="00000021" w:usb3="00000000" w:csb0="0000019F" w:csb1="00000000"/>
  </w:font>
  <w:font w:name="Raleway">
    <w:charset w:val="00"/>
    <w:family w:val="auto"/>
    <w:pitch w:val="default"/>
    <w:sig w:usb0="00000000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B"/>
    <w:rsid w:val="00047C19"/>
    <w:rsid w:val="0068059B"/>
    <w:rsid w:val="0082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3">
    <w:name w:val="Выделенная цитата1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13"/>
    <w:uiPriority w:val="30"/>
    <w:rPr>
      <w:i/>
      <w:iCs/>
      <w:color w:val="0F4761" w:themeColor="accent1" w:themeShade="BF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3">
    <w:name w:val="Выделенная цитата1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13"/>
    <w:uiPriority w:val="30"/>
    <w:rPr>
      <w:i/>
      <w:iCs/>
      <w:color w:val="0F4761" w:themeColor="accent1" w:themeShade="BF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8615793213460</dc:creator>
  <cp:lastModifiedBy>teacher</cp:lastModifiedBy>
  <cp:revision>3</cp:revision>
  <dcterms:created xsi:type="dcterms:W3CDTF">2026-03-16T08:09:00Z</dcterms:created>
  <dcterms:modified xsi:type="dcterms:W3CDTF">2026-03-16T08:12:00Z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64BE731A61B7EE44547AA06972DC2120_31</vt:lpwstr>
  </property>
  <property fmtid="{D5CDD505-2E9C-101B-9397-08002B2CF9AE}" pid="3" name="KSOProductBuildVer">
    <vt:lpwstr>2052-12.40.0</vt:lpwstr>
  </property>
</Properties>
</file>