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Chars="0" w:hanging="0"/>
        <w:jc w:val="center"/>
        <w:rPr>
          <w:rFonts w:ascii="Times New Roman" w:hAnsi="Times New Roman" w:eastAsia="Times New Roman"/>
        </w:rPr>
      </w:pPr>
      <w:r>
        <w:rPr>
          <w:rFonts w:eastAsia="Times New Roman" w:cs="Times New Roman"/>
          <w:b/>
          <w:bCs/>
          <w:color w:val="000000"/>
          <w:szCs w:val="24"/>
          <w:lang w:val="ru-RU"/>
        </w:rPr>
        <w:t>Как периодические функции помогают прогнозировать сроки роста сельскохозяйственных культур</w:t>
      </w:r>
    </w:p>
    <w:p>
      <w:pPr>
        <w:pStyle w:val="Normal"/>
        <w:ind w:hangingChars="0" w:hanging="0"/>
        <w:jc w:val="center"/>
        <w:rPr>
          <w:rFonts w:ascii="Times New Roman" w:hAnsi="Times New Roman" w:eastAsia="Times New Roman"/>
        </w:rPr>
      </w:pPr>
      <w:r>
        <w:rPr>
          <w:rFonts w:eastAsia="Times New Roman" w:cs="Times New Roman"/>
          <w:b/>
          <w:bCs/>
          <w:i/>
          <w:iCs/>
          <w:color w:val="000000"/>
          <w:szCs w:val="24"/>
          <w:lang w:val="ru-RU"/>
        </w:rPr>
        <w:t>Ма Юйфань</w:t>
      </w:r>
    </w:p>
    <w:p>
      <w:pPr>
        <w:pStyle w:val="Normal"/>
        <w:ind w:hangingChars="0" w:hanging="0"/>
        <w:jc w:val="center"/>
        <w:rPr>
          <w:rFonts w:ascii="Times New Roman" w:hAnsi="Times New Roman" w:eastAsia="Times New Roman"/>
        </w:rPr>
      </w:pPr>
      <w:r>
        <w:rPr>
          <w:rFonts w:eastAsia="Times New Roman" w:cs="Times New Roman"/>
          <w:bCs/>
          <w:i/>
          <w:iCs/>
          <w:color w:val="000000"/>
          <w:szCs w:val="24"/>
          <w:lang w:val="ru-RU"/>
        </w:rPr>
        <w:t>Студент (</w:t>
      </w:r>
      <w:r>
        <w:rPr>
          <w:rFonts w:eastAsia="Times New Roman" w:cs="Times New Roman"/>
          <w:bCs/>
          <w:i/>
          <w:iCs/>
          <w:color w:val="000000"/>
          <w:szCs w:val="24"/>
          <w:lang w:val="ru-RU"/>
        </w:rPr>
        <w:t>б</w:t>
      </w:r>
      <w:r>
        <w:rPr>
          <w:rFonts w:eastAsia="Times New Roman" w:cs="Times New Roman"/>
          <w:bCs/>
          <w:i/>
          <w:iCs/>
          <w:color w:val="000000"/>
          <w:szCs w:val="24"/>
          <w:lang w:val="ru-RU"/>
        </w:rPr>
        <w:t>акалавр)</w:t>
      </w:r>
    </w:p>
    <w:p>
      <w:pPr>
        <w:pStyle w:val="Normal"/>
        <w:ind w:hangingChars="0" w:hanging="0"/>
        <w:jc w:val="center"/>
        <w:rPr>
          <w:rFonts w:ascii="Times New Roman" w:hAnsi="Times New Roman" w:eastAsia="Times New Roman"/>
        </w:rPr>
      </w:pPr>
      <w:r>
        <w:rPr>
          <w:rFonts w:eastAsia="Times New Roman" w:cs="Times New Roman"/>
          <w:bCs/>
          <w:i/>
          <w:iCs/>
          <w:color w:val="000000"/>
          <w:szCs w:val="24"/>
          <w:lang w:val="ru-RU"/>
        </w:rPr>
        <w:t>Московский государственный университет имени М.В. Ломоносова</w:t>
      </w:r>
    </w:p>
    <w:p>
      <w:pPr>
        <w:pStyle w:val="Normal"/>
        <w:ind w:hangingChars="0" w:hanging="0"/>
        <w:jc w:val="center"/>
        <w:rPr>
          <w:rFonts w:ascii="Times New Roman" w:hAnsi="Times New Roman" w:eastAsia="Times New Roman"/>
        </w:rPr>
      </w:pPr>
      <w:r>
        <w:rPr>
          <w:rFonts w:eastAsia="Times New Roman" w:cs="Times New Roman"/>
          <w:bCs/>
          <w:i/>
          <w:iCs/>
          <w:color w:val="000000"/>
          <w:szCs w:val="24"/>
          <w:lang w:val="ru-RU"/>
        </w:rPr>
        <w:t>Институт русского языка и культуры, Москва, Россия</w:t>
      </w:r>
    </w:p>
    <w:p>
      <w:pPr>
        <w:pStyle w:val="Normal"/>
        <w:ind w:hangingChars="0" w:hanging="0"/>
        <w:jc w:val="center"/>
        <w:rPr>
          <w:rFonts w:ascii="Times New Roman" w:hAnsi="Times New Roman" w:eastAsia="Times New Roman"/>
        </w:rPr>
      </w:pPr>
      <w:r>
        <w:rPr>
          <w:rFonts w:eastAsia="Times New Roman" w:cs="Times New Roman"/>
          <w:bCs/>
          <w:i/>
          <w:iCs/>
          <w:color w:val="000000"/>
          <w:szCs w:val="24"/>
        </w:rPr>
        <w:t>E-</w:t>
      </w:r>
      <w:bookmarkStart w:id="0" w:name="_GoBack"/>
      <w:bookmarkEnd w:id="0"/>
      <w:r>
        <w:rPr>
          <w:rFonts w:eastAsia="Times New Roman" w:cs="Times New Roman"/>
          <w:bCs/>
          <w:i/>
          <w:iCs/>
          <w:color w:val="000000"/>
          <w:szCs w:val="24"/>
        </w:rPr>
        <w:t>mail: myf17387126958@qq.com</w:t>
      </w:r>
    </w:p>
    <w:p>
      <w:pPr>
        <w:pStyle w:val="Normal"/>
        <w:ind w:firstLineChars="200"/>
        <w:jc w:val="center"/>
        <w:rPr>
          <w:rFonts w:ascii="Times New Roman" w:hAnsi="Times New Roman" w:eastAsia="Times New Roman" w:cs="Times New Roman"/>
          <w:bCs/>
          <w:i/>
          <w:i/>
          <w:iCs/>
          <w:color w:val="000000"/>
          <w:szCs w:val="24"/>
        </w:rPr>
      </w:pPr>
      <w:r>
        <w:rPr>
          <w:rFonts w:eastAsia="Times New Roman" w:cs="Times New Roman"/>
          <w:bCs/>
          <w:i/>
          <w:iCs/>
          <w:color w:val="000000"/>
          <w:szCs w:val="24"/>
        </w:rPr>
      </w:r>
    </w:p>
    <w:p>
      <w:pPr>
        <w:pStyle w:val="Normal"/>
        <w:ind w:firstLineChars="0" w:firstLine="397"/>
        <w:rPr>
          <w:rFonts w:ascii="Times New Roman" w:hAnsi="Times New Roman" w:eastAsia="Times New Roman"/>
        </w:rPr>
      </w:pPr>
      <w:r>
        <w:rPr>
          <w:rFonts w:eastAsia="Times New Roman" w:cs="Times New Roman"/>
          <w:color w:val="000000"/>
          <w:szCs w:val="24"/>
          <w:lang w:val="ru-RU"/>
        </w:rPr>
        <w:t>Точное прогнозирование вегетационного периода сельскохозяйственных культур позволяет фермерам своевременно проводить уборку урожая, повышать качество продукции, увеличивать эффективность использования земельных ресурсов и способствовать развитию сельского хозяйства. Использование периодических функций математики для прогнозирования вегетационного периода [1, 2] сельскохозяйственных культур позволяет повышать эффективность сельскохозяйственного производства.[3, 4]</w:t>
      </w:r>
    </w:p>
    <w:p>
      <w:pPr>
        <w:pStyle w:val="Normal"/>
        <w:ind w:firstLineChars="0" w:firstLine="397"/>
        <w:rPr>
          <w:rFonts w:ascii="Times New Roman" w:hAnsi="Times New Roman" w:eastAsia="Times New Roman"/>
        </w:rPr>
      </w:pPr>
      <w:r>
        <w:rPr>
          <w:rFonts w:eastAsia="Times New Roman" w:cs="Times New Roman"/>
          <w:color w:val="000000"/>
          <w:szCs w:val="24"/>
          <w:lang w:val="ru-RU"/>
        </w:rPr>
        <w:t>Проведенное исследование показало, что математизация фенологических закономерностей — преобразование эмпирического агрономического опыта в вычислимые периодические модели, позволяет осуществлять точное прогнозирование ключевых фенологических периодов, оптимизировать распределение ресурсов и контролировать риски стихийных бедствий.</w:t>
      </w:r>
    </w:p>
    <w:p>
      <w:pPr>
        <w:pStyle w:val="Normal"/>
        <w:ind w:firstLineChars="200"/>
        <w:rPr>
          <w:rFonts w:ascii="Times New Roman" w:hAnsi="Times New Roman" w:eastAsia="Times New Roman" w:cs="Times New Roman"/>
          <w:color w:val="000000"/>
          <w:szCs w:val="24"/>
          <w:lang w:val="ru-RU"/>
        </w:rPr>
      </w:pPr>
      <w:r>
        <w:rPr>
          <w:rFonts w:eastAsia="Times New Roman" w:cs="Times New Roman"/>
          <w:color w:val="000000"/>
          <w:szCs w:val="24"/>
          <w:lang w:val="ru-RU"/>
        </w:rPr>
      </w:r>
    </w:p>
    <w:p>
      <w:pPr>
        <w:pStyle w:val="Normal"/>
        <w:ind w:hangingChars="0" w:hanging="0"/>
        <w:jc w:val="center"/>
        <w:rPr>
          <w:rFonts w:ascii="Times New Roman" w:hAnsi="Times New Roman" w:eastAsia="Times New Roman"/>
        </w:rPr>
      </w:pPr>
      <w:r>
        <w:rPr>
          <w:rFonts w:eastAsia="Times New Roman" w:cs="Times New Roman"/>
          <w:b/>
          <w:color w:val="000000"/>
          <w:szCs w:val="24"/>
          <w:lang w:val="ru-RU"/>
        </w:rPr>
        <w:t>Литература</w:t>
      </w:r>
    </w:p>
    <w:p>
      <w:pPr>
        <w:pStyle w:val="Normal"/>
        <w:ind w:hangingChars="0" w:hanging="0"/>
        <w:rPr>
          <w:rFonts w:ascii="Times New Roman" w:hAnsi="Times New Roman" w:eastAsia="Times New Roman" w:cs="Times New Roman"/>
          <w:color w:val="000000"/>
          <w:szCs w:val="24"/>
          <w:lang w:val="ru-RU"/>
        </w:rPr>
      </w:pPr>
      <w:r>
        <w:rPr>
          <w:rFonts w:eastAsia="Times New Roman" w:cs="Times New Roman"/>
          <w:color w:val="000000"/>
          <w:szCs w:val="24"/>
          <w:lang w:val="ru-RU"/>
        </w:rPr>
        <w:t>1. Потапов В. А., Корганбаев Б. Н. Методика регрессионного анализа уравнений, содержащих гармонические компоненты // Международный научный обзор. — 2019.</w:t>
      </w:r>
    </w:p>
    <w:p>
      <w:pPr>
        <w:pStyle w:val="Normal"/>
        <w:ind w:hangingChars="0" w:hanging="0"/>
        <w:rPr>
          <w:rFonts w:ascii="Times New Roman" w:hAnsi="Times New Roman" w:eastAsia="Times New Roman" w:cs="Times New Roman"/>
          <w:color w:val="000000"/>
          <w:szCs w:val="24"/>
          <w:lang w:val="ru-RU"/>
        </w:rPr>
      </w:pPr>
      <w:r>
        <w:rPr>
          <w:rFonts w:eastAsia="Times New Roman" w:cs="Times New Roman"/>
          <w:color w:val="000000"/>
          <w:szCs w:val="24"/>
          <w:lang w:val="ru-RU"/>
        </w:rPr>
        <w:t>2. Дубравин В. Ф., Капустина М. В., Стонт Ж. И. Эволюции (сезонная и межгодовая изменчивость) синоптической составляющей потоков тепла на границе вода–воздух в юго-западной части Балтики // Известия КГТУ. — 2019.</w:t>
      </w:r>
    </w:p>
    <w:p>
      <w:pPr>
        <w:pStyle w:val="Normal"/>
        <w:ind w:hangingChars="0" w:hanging="0"/>
        <w:rPr>
          <w:rFonts w:ascii="Times New Roman" w:hAnsi="Times New Roman" w:eastAsia="Times New Roman" w:cs="Times New Roman"/>
          <w:color w:val="000000"/>
          <w:szCs w:val="24"/>
          <w:lang w:val="ru-RU"/>
        </w:rPr>
      </w:pPr>
      <w:r>
        <w:rPr>
          <w:rFonts w:eastAsia="Times New Roman" w:cs="Times New Roman"/>
          <w:color w:val="000000"/>
          <w:szCs w:val="24"/>
          <w:lang w:val="ru-RU"/>
        </w:rPr>
        <w:t>3. Якименко В. В., Савостьянова И. Л. Архитектура модели LSTM для прогнозирования временных рядов редких событий // Актуальные проблемы авиации и космонавтики. — 2022.</w:t>
      </w:r>
    </w:p>
    <w:p>
      <w:pPr>
        <w:pStyle w:val="Normal"/>
        <w:ind w:hangingChars="0" w:hanging="0"/>
        <w:rPr>
          <w:rFonts w:ascii="Times New Roman" w:hAnsi="Times New Roman" w:eastAsia="Times New Roman"/>
          <w:lang w:val="ru-RU"/>
        </w:rPr>
      </w:pPr>
      <w:r>
        <w:rPr>
          <w:rFonts w:eastAsia="Times New Roman" w:cs="Times New Roman"/>
          <w:color w:val="000000"/>
          <w:szCs w:val="24"/>
          <w:lang w:val="ru-RU"/>
        </w:rPr>
        <w:t>4. Басалов Ю. А., Быковский В. А., Добровольский Н. Н., Чубариков В. Н., Добровольский Н. М. Многомерная Фурье-интерполяция и трудоёмкость быстрого преобразования Фурье // Чебышевский сборник. — 2024.</w:t>
      </w:r>
    </w:p>
    <w:sectPr>
      <w:headerReference w:type="even" r:id="rId2"/>
      <w:footerReference w:type="even" r:id="rId3"/>
      <w:type w:val="nextPage"/>
      <w:pgSz w:w="11906" w:h="16838"/>
      <w:pgMar w:left="1361" w:right="1361" w:gutter="0" w:header="0" w:top="1134" w:footer="0" w:bottom="1134"/>
      <w:pgNumType w:fmt="decimal"/>
      <w:formProt w:val="false"/>
      <w:textDirection w:val="lrTb"/>
      <w:docGrid w:type="lines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等线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等线 Light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evenAndOddHeader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等线" w:hAnsi="等线" w:eastAsia="" w:cs="" w:asciiTheme="minorHAnsi" w:cstheme="minorBidi" w:eastAsiaTheme="minorEastAsia" w:hAnsiTheme="minorHAns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1789"/>
    <w:pPr>
      <w:widowControl w:val="false"/>
      <w:suppressAutoHyphens w:val="true"/>
      <w:bidi w:val="0"/>
      <w:spacing w:before="0" w:after="0"/>
      <w:ind w:firstLineChars="200"/>
      <w:jc w:val="both"/>
    </w:pPr>
    <w:rPr>
      <w:rFonts w:ascii="Times New Roman" w:hAnsi="Times New Roman" w:eastAsia="Times New Roman" w:cs="" w:cstheme="minorBidi"/>
      <w:color w:val="auto"/>
      <w:kern w:val="2"/>
      <w:sz w:val="24"/>
      <w:szCs w:val="22"/>
      <w:lang w:val="en-US" w:eastAsia="zh-CN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c961c6"/>
    <w:pPr>
      <w:keepNext w:val="true"/>
      <w:keepLines/>
      <w:spacing w:before="480" w:after="80"/>
      <w:outlineLvl w:val="0"/>
    </w:pPr>
    <w:rPr>
      <w:rFonts w:ascii="等线 Light" w:hAnsi="等线 Light" w:eastAsia="" w:cs="" w:asciiTheme="majorHAnsi" w:cstheme="majorBidi" w:eastAsiaTheme="majorEastAsia" w:hAnsiTheme="majorHAnsi"/>
      <w:color w:themeColor="accent1" w:themeShade="bf" w:val="2F5496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c961c6"/>
    <w:pPr>
      <w:keepNext w:val="true"/>
      <w:keepLines/>
      <w:spacing w:before="160" w:after="80"/>
      <w:outlineLvl w:val="1"/>
    </w:pPr>
    <w:rPr>
      <w:rFonts w:ascii="等线 Light" w:hAnsi="等线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c961c6"/>
    <w:pPr>
      <w:keepNext w:val="true"/>
      <w:keepLines/>
      <w:spacing w:before="160" w:after="80"/>
      <w:outlineLvl w:val="2"/>
    </w:pPr>
    <w:rPr>
      <w:rFonts w:ascii="等线 Light" w:hAnsi="等线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c961c6"/>
    <w:pPr>
      <w:keepNext w:val="true"/>
      <w:keepLines/>
      <w:spacing w:before="80" w:after="40"/>
      <w:outlineLvl w:val="3"/>
    </w:pPr>
    <w:rPr>
      <w:rFonts w:ascii="等线" w:hAnsi="等线" w:eastAsia="" w:cs="" w:asciiTheme="minorHAnsi" w:cstheme="majorBidi" w:eastAsiaTheme="minorEastAsia" w:hAnsiTheme="minorHAnsi"/>
      <w:color w:themeColor="accent1" w:themeShade="bf" w:val="2F5496"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c961c6"/>
    <w:pPr>
      <w:keepNext w:val="true"/>
      <w:keepLines/>
      <w:spacing w:before="80" w:after="40"/>
      <w:outlineLvl w:val="4"/>
    </w:pPr>
    <w:rPr>
      <w:rFonts w:ascii="等线" w:hAnsi="等线" w:eastAsia="" w:cs="" w:asciiTheme="minorHAnsi" w:cstheme="majorBidi" w:eastAsiaTheme="minorEastAsia" w:hAnsiTheme="minorHAnsi"/>
      <w:color w:themeColor="accent1" w:themeShade="bf" w:val="2F5496"/>
      <w:szCs w:val="24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c961c6"/>
    <w:pPr>
      <w:keepNext w:val="true"/>
      <w:keepLines/>
      <w:spacing w:before="40" w:after="0"/>
      <w:outlineLvl w:val="5"/>
    </w:pPr>
    <w:rPr>
      <w:rFonts w:ascii="等线" w:hAnsi="等线" w:eastAsia="" w:cs="" w:asciiTheme="minorHAnsi" w:cstheme="majorBidi" w:eastAsiaTheme="minorEastAsia" w:hAnsiTheme="minorHAnsi"/>
      <w:b/>
      <w:bCs/>
      <w:color w:themeColor="accent1" w:themeShade="bf" w:val="2F549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c961c6"/>
    <w:pPr>
      <w:keepNext w:val="true"/>
      <w:keepLines/>
      <w:spacing w:before="40" w:after="0"/>
      <w:outlineLvl w:val="6"/>
    </w:pPr>
    <w:rPr>
      <w:rFonts w:ascii="等线" w:hAnsi="等线" w:eastAsia="" w:cs="" w:asciiTheme="minorHAnsi" w:cstheme="majorBidi" w:eastAsiaTheme="minorEastAsia" w:hAnsiTheme="minorHAnsi"/>
      <w:b/>
      <w:bCs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c961c6"/>
    <w:pPr>
      <w:keepNext w:val="true"/>
      <w:keepLines/>
      <w:outlineLvl w:val="7"/>
    </w:pPr>
    <w:rPr>
      <w:rFonts w:ascii="等线" w:hAnsi="等线" w:eastAsia="" w:cs="" w:asciiTheme="minorHAnsi" w:cstheme="majorBidi" w:eastAsiaTheme="minorEastAsia" w:hAnsiTheme="minorHAnsi"/>
      <w:color w:themeColor="text1" w:themeTint="a6" w:val="595959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c961c6"/>
    <w:pPr>
      <w:keepNext w:val="true"/>
      <w:keepLines/>
      <w:outlineLvl w:val="8"/>
    </w:pPr>
    <w:rPr>
      <w:rFonts w:ascii="等线" w:hAnsi="等线" w:eastAsia="" w:cs="" w:asciiTheme="minorHAnsi" w:cstheme="majorBidi" w:eastAsiaTheme="majorEastAsia" w:hAnsiTheme="minorHAnsi"/>
      <w:color w:themeColor="text1" w:themeTint="a6" w:val="59595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c961c6"/>
    <w:rPr>
      <w:rFonts w:ascii="等线 Light" w:hAnsi="等线 Light" w:eastAsia="" w:cs="" w:asciiTheme="majorHAnsi" w:cstheme="majorBidi" w:eastAsiaTheme="majorEastAsia" w:hAnsiTheme="majorHAnsi"/>
      <w:color w:themeColor="accent1" w:themeShade="bf" w:val="2F5496"/>
      <w:sz w:val="48"/>
      <w:szCs w:val="4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c961c6"/>
    <w:rPr>
      <w:rFonts w:ascii="等线 Light" w:hAnsi="等线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3" w:customStyle="1">
    <w:name w:val="Заголовок 3 Знак"/>
    <w:basedOn w:val="DefaultParagraphFont"/>
    <w:uiPriority w:val="9"/>
    <w:semiHidden/>
    <w:qFormat/>
    <w:rsid w:val="00c961c6"/>
    <w:rPr>
      <w:rFonts w:ascii="等线 Light" w:hAnsi="等线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4" w:customStyle="1">
    <w:name w:val="Заголовок 4 Знак"/>
    <w:basedOn w:val="DefaultParagraphFont"/>
    <w:uiPriority w:val="9"/>
    <w:semiHidden/>
    <w:qFormat/>
    <w:rsid w:val="00c961c6"/>
    <w:rPr>
      <w:rFonts w:cs="" w:cstheme="majorBidi"/>
      <w:color w:themeColor="accent1" w:themeShade="bf" w:val="2F5496"/>
      <w:sz w:val="28"/>
      <w:szCs w:val="28"/>
    </w:rPr>
  </w:style>
  <w:style w:type="character" w:styleId="5" w:customStyle="1">
    <w:name w:val="Заголовок 5 Знак"/>
    <w:basedOn w:val="DefaultParagraphFont"/>
    <w:uiPriority w:val="9"/>
    <w:semiHidden/>
    <w:qFormat/>
    <w:rsid w:val="00c961c6"/>
    <w:rPr>
      <w:rFonts w:cs="" w:cstheme="majorBidi"/>
      <w:color w:themeColor="accent1" w:themeShade="bf" w:val="2F5496"/>
      <w:sz w:val="24"/>
      <w:szCs w:val="24"/>
    </w:rPr>
  </w:style>
  <w:style w:type="character" w:styleId="6" w:customStyle="1">
    <w:name w:val="Заголовок 6 Знак"/>
    <w:basedOn w:val="DefaultParagraphFont"/>
    <w:uiPriority w:val="9"/>
    <w:semiHidden/>
    <w:qFormat/>
    <w:rsid w:val="00c961c6"/>
    <w:rPr>
      <w:rFonts w:cs="" w:cstheme="majorBidi"/>
      <w:b/>
      <w:bCs/>
      <w:color w:themeColor="accent1" w:themeShade="bf" w:val="2F5496"/>
      <w:sz w:val="24"/>
    </w:rPr>
  </w:style>
  <w:style w:type="character" w:styleId="7" w:customStyle="1">
    <w:name w:val="Заголовок 7 Знак"/>
    <w:basedOn w:val="DefaultParagraphFont"/>
    <w:uiPriority w:val="9"/>
    <w:semiHidden/>
    <w:qFormat/>
    <w:rsid w:val="00c961c6"/>
    <w:rPr>
      <w:rFonts w:cs="" w:cstheme="majorBidi"/>
      <w:b/>
      <w:bCs/>
      <w:color w:themeColor="text1" w:themeTint="a6" w:val="595959"/>
      <w:sz w:val="24"/>
    </w:rPr>
  </w:style>
  <w:style w:type="character" w:styleId="8" w:customStyle="1">
    <w:name w:val="Заголовок 8 Знак"/>
    <w:basedOn w:val="DefaultParagraphFont"/>
    <w:uiPriority w:val="9"/>
    <w:semiHidden/>
    <w:qFormat/>
    <w:rsid w:val="00c961c6"/>
    <w:rPr>
      <w:rFonts w:cs="" w:cstheme="majorBidi"/>
      <w:color w:themeColor="text1" w:themeTint="a6" w:val="595959"/>
      <w:sz w:val="24"/>
    </w:rPr>
  </w:style>
  <w:style w:type="character" w:styleId="9" w:customStyle="1">
    <w:name w:val="Заголовок 9 Знак"/>
    <w:basedOn w:val="DefaultParagraphFont"/>
    <w:uiPriority w:val="9"/>
    <w:semiHidden/>
    <w:qFormat/>
    <w:rsid w:val="00c961c6"/>
    <w:rPr>
      <w:rFonts w:eastAsia="" w:cs="" w:cstheme="majorBidi" w:eastAsiaTheme="majorEastAsia"/>
      <w:color w:themeColor="text1" w:themeTint="a6" w:val="595959"/>
      <w:sz w:val="24"/>
    </w:rPr>
  </w:style>
  <w:style w:type="character" w:styleId="Style5" w:customStyle="1">
    <w:name w:val="Название Знак"/>
    <w:basedOn w:val="DefaultParagraphFont"/>
    <w:uiPriority w:val="10"/>
    <w:qFormat/>
    <w:rsid w:val="00c961c6"/>
    <w:rPr>
      <w:rFonts w:ascii="等线 Light" w:hAnsi="等线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c961c6"/>
    <w:rPr>
      <w:rFonts w:ascii="等线 Light" w:hAnsi="等线 Light" w:eastAsia="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c961c6"/>
    <w:rPr>
      <w:rFonts w:ascii="Times New Roman" w:hAnsi="Times New Roman" w:eastAsia="SimSun"/>
      <w:i/>
      <w:iCs/>
      <w:color w:themeColor="text1" w:themeTint="bf" w:val="404040"/>
      <w:sz w:val="24"/>
    </w:rPr>
  </w:style>
  <w:style w:type="character" w:styleId="IntenseEmphasis">
    <w:name w:val="Intense Emphasis"/>
    <w:basedOn w:val="DefaultParagraphFont"/>
    <w:uiPriority w:val="21"/>
    <w:qFormat/>
    <w:rsid w:val="00c961c6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c961c6"/>
    <w:rPr>
      <w:rFonts w:ascii="Times New Roman" w:hAnsi="Times New Roman" w:eastAsia="SimSun"/>
      <w:i/>
      <w:iCs/>
      <w:color w:themeColor="accent1" w:themeShade="bf" w:val="2F5496"/>
      <w:sz w:val="24"/>
    </w:rPr>
  </w:style>
  <w:style w:type="character" w:styleId="IntenseReference">
    <w:name w:val="Intense Reference"/>
    <w:basedOn w:val="DefaultParagraphFont"/>
    <w:uiPriority w:val="32"/>
    <w:qFormat/>
    <w:rsid w:val="00c961c6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6f3aea"/>
    <w:rPr>
      <w:rFonts w:ascii="Times New Roman" w:hAnsi="Times New Roman" w:eastAsia="SimSun"/>
      <w:sz w:val="18"/>
      <w:szCs w:val="18"/>
    </w:rPr>
  </w:style>
  <w:style w:type="character" w:styleId="Style9" w:customStyle="1">
    <w:name w:val="Нижний колонтитул Знак"/>
    <w:basedOn w:val="DefaultParagraphFont"/>
    <w:uiPriority w:val="99"/>
    <w:qFormat/>
    <w:rsid w:val="006f3aea"/>
    <w:rPr>
      <w:rFonts w:ascii="Times New Roman" w:hAnsi="Times New Roman" w:eastAsia="SimSun"/>
      <w:sz w:val="18"/>
      <w:szCs w:val="18"/>
    </w:rPr>
  </w:style>
  <w:style w:type="character" w:styleId="user">
    <w:name w:val="Символ нумерации (user)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TableofFigures">
    <w:name w:val="table of figures"/>
    <w:basedOn w:val="Normal"/>
    <w:next w:val="Normal"/>
    <w:uiPriority w:val="99"/>
    <w:unhideWhenUsed/>
    <w:rsid w:val="007f591c"/>
    <w:pPr>
      <w:spacing w:lineRule="exact" w:line="400"/>
      <w:ind w:hangingChars="0" w:hanging="0"/>
    </w:pPr>
    <w:rPr/>
  </w:style>
  <w:style w:type="paragraph" w:styleId="Title">
    <w:name w:val="Title"/>
    <w:basedOn w:val="Normal"/>
    <w:next w:val="Normal"/>
    <w:link w:val="Style5"/>
    <w:uiPriority w:val="10"/>
    <w:qFormat/>
    <w:rsid w:val="00c961c6"/>
    <w:pPr>
      <w:spacing w:before="0" w:after="80"/>
      <w:contextualSpacing/>
      <w:jc w:val="center"/>
    </w:pPr>
    <w:rPr>
      <w:rFonts w:ascii="等线 Light" w:hAnsi="等线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c961c6"/>
    <w:pPr>
      <w:spacing w:before="0" w:after="160"/>
      <w:ind w:firstLineChars="200"/>
      <w:jc w:val="center"/>
    </w:pPr>
    <w:rPr>
      <w:rFonts w:ascii="等线 Light" w:hAnsi="等线 Light" w:eastAsia="" w:cs="" w:asciiTheme="majorHAnsi" w:cstheme="majorBidi" w:eastAsiaTheme="majorEastAsia" w:hAnsiTheme="majorHAnsi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c961c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c961c6"/>
    <w:pPr>
      <w:spacing w:before="0" w:after="0"/>
      <w:ind w:star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c961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user3">
    <w:name w:val="Колонтитулы (user)"/>
    <w:basedOn w:val="Normal"/>
    <w:qFormat/>
    <w:pPr/>
    <w:rPr/>
  </w:style>
  <w:style w:type="paragraph" w:styleId="Style12">
    <w:name w:val="Колонтитулы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6f3aea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link w:val="Style9"/>
    <w:uiPriority w:val="99"/>
    <w:unhideWhenUsed/>
    <w:rsid w:val="006f3aea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rsid w:val="00fc37f7"/>
    <w:pPr>
      <w:tabs>
        <w:tab w:val="clear" w:pos="420"/>
        <w:tab w:val="left" w:pos="384" w:leader="none"/>
      </w:tabs>
      <w:ind w:firstLineChars="200" w:start="384"/>
    </w:pPr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 pitchFamily="0" charset="1"/>
        <a:ea typeface=""/>
        <a:cs typeface=""/>
      </a:majorFont>
      <a:minorFont>
        <a:latin typeface="等线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LibreOffice/25.8.2.2$Windows_X86_64 LibreOffice_project/d401f2107ccab8f924a8e2df40f573aab7605b6f</Application>
  <AppVersion>15.0000</AppVersion>
  <Pages>1</Pages>
  <Words>202</Words>
  <Characters>1604</Characters>
  <CharactersWithSpaces>1797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2026-03-02T10:49:00Z</dcterms:created>
  <dc:creator>芃 郭</dc:creator>
  <dc:description/>
  <dc:language>ru-RU</dc:language>
  <cp:lastModifiedBy/>
  <cp:lastPrinted>2025-03-05T19:19:00Z</cp:lastPrinted>
  <dcterms:modified xsi:type="dcterms:W3CDTF">2026-03-28T09:45:58Z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id="7fphJ1zv"/&gt;&lt;style id="http://www.zotero.org/styles/china-national-standard-gb-t-7714-2015-numeric" hasBibliography="1" bibliographyStyleHasBeenSet="1"/&gt;&lt;prefs&gt;&lt;pref name="fieldType" value="Field"</vt:lpwstr>
  </property>
  <property fmtid="{D5CDD505-2E9C-101B-9397-08002B2CF9AE}" pid="3" name="ZOTERO_PREF_2">
    <vt:lpwstr>/&gt;&lt;/prefs&gt;&lt;/data&gt;</vt:lpwstr>
  </property>
</Properties>
</file>