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strike w:val="false"/>
          <w:dstrike w:val="false"/>
        </w:rPr>
      </w:pPr>
      <w:r>
        <w:rPr>
          <w:rFonts w:eastAsia="Times New Roman" w:cs="Times New Roman" w:ascii="Times New Roman" w:hAnsi="Times New Roman"/>
          <w:b/>
          <w:bCs/>
          <w:strike w:val="false"/>
          <w:dstrike w:val="false"/>
          <w:color w:themeColor="text1" w:val="000000"/>
          <w:sz w:val="24"/>
          <w:lang w:val="ru-RU"/>
        </w:rPr>
        <w:t xml:space="preserve">Влияние услуг дошкольного образования в Китае на участие </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b/>
          <w:bCs/>
          <w:strike w:val="false"/>
          <w:dstrike w:val="false"/>
          <w:color w:themeColor="text1" w:val="000000"/>
          <w:sz w:val="24"/>
          <w:lang w:val="ru-RU"/>
        </w:rPr>
        <w:t>женщин с детьми на рынке труда</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b/>
          <w:bCs/>
          <w:i/>
          <w:iCs/>
          <w:strike w:val="false"/>
          <w:dstrike w:val="false"/>
          <w:color w:themeColor="text1" w:val="000000"/>
          <w:sz w:val="24"/>
          <w:lang w:val="ru-RU"/>
        </w:rPr>
        <w:t>Лу Фусян</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i/>
          <w:iCs/>
          <w:strike w:val="false"/>
          <w:dstrike w:val="false"/>
          <w:color w:themeColor="text1" w:val="000000"/>
          <w:sz w:val="24"/>
          <w:lang w:val="ru-RU"/>
        </w:rPr>
        <w:t>Студент (магистр)</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i/>
          <w:iCs/>
          <w:strike w:val="false"/>
          <w:dstrike w:val="false"/>
          <w:color w:themeColor="text1" w:val="000000"/>
          <w:sz w:val="24"/>
          <w:lang w:val="ru-RU"/>
        </w:rPr>
        <w:t>Московский государственный университет имени М.В. Ломоносова,</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i/>
          <w:iCs/>
          <w:strike w:val="false"/>
          <w:dstrike w:val="false"/>
          <w:color w:themeColor="text1" w:val="000000"/>
          <w:sz w:val="24"/>
          <w:lang w:val="ru-RU"/>
        </w:rPr>
        <w:t>Институт русского языка и культуры, Москва, Россия</w:t>
      </w:r>
    </w:p>
    <w:p>
      <w:pPr>
        <w:pStyle w:val="Normal"/>
        <w:jc w:val="center"/>
        <w:rPr>
          <w:rFonts w:ascii="Times New Roman" w:hAnsi="Times New Roman" w:eastAsia="Times New Roman"/>
          <w:strike w:val="false"/>
          <w:dstrike w:val="false"/>
        </w:rPr>
      </w:pPr>
      <w:r>
        <w:rPr>
          <w:rFonts w:eastAsia="Times New Roman" w:cs="Times New Roman" w:ascii="Times New Roman" w:hAnsi="Times New Roman"/>
          <w:i/>
          <w:iCs/>
          <w:strike w:val="false"/>
          <w:dstrike w:val="false"/>
          <w:color w:themeColor="text1" w:val="000000"/>
          <w:sz w:val="24"/>
          <w:lang w:val="ru-RU"/>
        </w:rPr>
        <w:t>E-mail: m17816874213@163.com</w:t>
      </w:r>
    </w:p>
    <w:p>
      <w:pPr>
        <w:pStyle w:val="Normal"/>
        <w:rPr>
          <w:rFonts w:ascii="Times New Roman" w:hAnsi="Times New Roman" w:eastAsia="Times New Roman" w:cs="Times New Roman"/>
          <w:strike w:val="false"/>
          <w:dstrike w:val="false"/>
          <w:color w:themeColor="text1" w:val="000000"/>
          <w:sz w:val="24"/>
          <w:lang w:val="ru-RU"/>
        </w:rPr>
      </w:pPr>
      <w:r>
        <w:rPr>
          <w:rFonts w:eastAsia="Times New Roman" w:cs="Times New Roman" w:ascii="Times New Roman" w:hAnsi="Times New Roman"/>
          <w:strike w:val="false"/>
          <w:dstrike w:val="false"/>
          <w:color w:themeColor="text1" w:val="000000"/>
          <w:sz w:val="24"/>
          <w:lang w:val="ru-RU"/>
        </w:rPr>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В Китае уровень женской занятости традиционно остается относительно высоким, однако на фоне снижения рождаемости усиливается противоречие между материнством и экономической активностью. Рост издержек, связанных с уходом за детьми, влечёт за собой различные трудности в трудоустройстве женщин, поэтому институциональные механизмы семейной поддержки становятся ключевым направлением экономической политики Китая.  В данном контексте услуги дошкольного образования рассматриваются как инструмент, способный снижать трудовые ограничения по уходу за детьми и изменять трудовое поведение матерей. Цель исследования — оценить связь между расширением</w:t>
      </w:r>
      <w:r>
        <w:rPr>
          <w:rFonts w:eastAsia="Times New Roman" w:cs="Times New Roman" w:ascii="Times New Roman" w:hAnsi="Times New Roman"/>
          <w:strike w:val="false"/>
          <w:dstrike w:val="false"/>
          <w:color w:themeColor="text1" w:val="000000"/>
          <w:sz w:val="24"/>
          <w:lang w:val="ru-RU"/>
        </w:rPr>
        <w:t xml:space="preserve"> </w:t>
      </w:r>
      <w:r>
        <w:rPr>
          <w:rFonts w:eastAsia="Times New Roman" w:cs="Times New Roman" w:ascii="Times New Roman" w:hAnsi="Times New Roman"/>
          <w:strike w:val="false"/>
          <w:dstrike w:val="false"/>
          <w:color w:themeColor="text1" w:val="000000"/>
          <w:sz w:val="24"/>
          <w:lang w:val="ru-RU"/>
        </w:rPr>
        <w:t>дошкольных услуг и занятостью женщин с детьми в Китае.</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 xml:space="preserve">Эмпирическая часть основана на данных China Health </w:t>
      </w:r>
      <w:r>
        <w:rPr>
          <w:rFonts w:eastAsia="Times New Roman" w:cs="Times New Roman" w:ascii="Times New Roman" w:hAnsi="Times New Roman"/>
          <w:strike w:val="false"/>
          <w:dstrike w:val="false"/>
          <w:color w:themeColor="text1" w:val="000000"/>
          <w:sz w:val="24"/>
        </w:rPr>
        <w:t>and</w:t>
      </w:r>
      <w:r>
        <w:rPr>
          <w:rFonts w:eastAsia="Times New Roman" w:cs="Times New Roman" w:ascii="Times New Roman" w:hAnsi="Times New Roman"/>
          <w:strike w:val="false"/>
          <w:dstrike w:val="false"/>
          <w:color w:themeColor="text1" w:val="000000"/>
          <w:sz w:val="24"/>
          <w:lang w:val="ru-RU"/>
        </w:rPr>
        <w:t xml:space="preserve"> </w:t>
      </w:r>
      <w:r>
        <w:rPr>
          <w:rFonts w:eastAsia="Times New Roman" w:cs="Times New Roman" w:ascii="Times New Roman" w:hAnsi="Times New Roman"/>
          <w:strike w:val="false"/>
          <w:dstrike w:val="false"/>
          <w:color w:themeColor="text1" w:val="000000"/>
          <w:sz w:val="24"/>
        </w:rPr>
        <w:t>Nutrition</w:t>
      </w:r>
      <w:r>
        <w:rPr>
          <w:rFonts w:eastAsia="Times New Roman" w:cs="Times New Roman" w:ascii="Times New Roman" w:hAnsi="Times New Roman"/>
          <w:strike w:val="false"/>
          <w:dstrike w:val="false"/>
          <w:color w:themeColor="text1" w:val="000000"/>
          <w:sz w:val="24"/>
          <w:lang w:val="ru-RU"/>
        </w:rPr>
        <w:t xml:space="preserve"> Survey (CHNS) и построении объединённой выборки повторных обследований. Анализ опирается на стандартную модель предложения труда: наличие детей дошкольного возраста повышает альтернативную стоимость занятости, тогда как доступность дошкольных услуг снижает издержки ухода и потенциально снижает преграды для трудовой деятельности женщин [1, 2]. В качестве институционального фона рассматривается масштабное расширение системы дошкольного образования после 2010 года, что формирует временную вариацию, а региональная организация дошкольного сектора — пространственную вариацию условий.</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Решение об участии в трудовой деятельности моделируется как бинарный выбор (логит), а интенсивность занятости — через линейную регрессию для продолжительности рабочего времени. Ключевая объясняющая переменная — индикатор посещения ребёнком дошкольного учреждения. Также учитываются индивидуальные и семейные характеристики, а также региональные фиксированные эффекты.</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Полученные данные показывают, что посещение ребёнком дошкольного учреждения связано с более высокой вероятностью участия матерей в рынке труда, особенно в группе женщин, имеющих детей 3–6 лет. Но в то же время выявлено, что среди женщин, чьи дети посещают дошкольные учреждения, средняя продолжительность рабочей недели ниже (порядка 20 часов), что может указывать на преобладание менее интенсивной или частичной занятости среди женщин, для которых расширение дошкольных услуг повышает возможность трудоустройства, но не устраняет полностью ограничения, связанные с уходом за детьми.</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Анализ гетерогенности подтверждает, что связь между дошкольными услугами и занятостью матерей существенно различается по социально-экономическим группам. Наиболее выраженная положительная ассоциация наблюдается среди женщин из домохозяйств с доходом ниже медианного уровня и среди женщин без высшего образования, тогда как для групп с более высоким социально-экономическим статусом статистически значимых эффектов, как правило, не выявляется. В территориальном разрезе связь сильнее проявляется среди сельских женщин; по регионам — в центральных и западных провинциях, тогда как в восточных и северо-восточных регионах устойчивых статистически значимых результатов не обнаружено. По возрастным группам (до и после 35 лет) положительная ассоциация с вероятностью занятости сохраняется.</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Полученные результаты анализа позволяют сделать следующие выводы. Во-первых, занятость женщин находится в значимой отрицательной зависимости от нагрузки по уходу за детьми. Среди неработающих женщин большинство покинуло рынок труда по причине семейных обязанностей по уходу за детьми, причём чем ниже социально-экономический статус семьи, тем более ограничены возможности трудоустройства. Наличие детей младше шести лет существенно снижает вероятность занятости, особенно при наличии детей в возрасте 1–2 лет. Несмотря на это, участие китайских женщин в трудовой деятельности репродуктивного возраста остаётся сравнительно высоким и демонстрирует феномен «рождения детей без отрыва от работы», хотя рождение ребёнка нередко сопровождается перерывами в трудовой деятельности, снижением доходов и утратой профессиональных навыков [3, 4, 5].</w:t>
      </w:r>
    </w:p>
    <w:p>
      <w:pPr>
        <w:pStyle w:val="Normal"/>
        <w:ind w:firstLine="426"/>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Во-вторых, расширение дошкольных услуг способствует повышению занятости матерей, особенно для уязвимых групп, так как снижаются затраты на содержание детей и снимаются временные ограничения в трудовой деятельности женщины [6].</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В-третьих, основанные на семейной модели неформальные механизмы ухода за детьми имеют ограниченную эффективность. Хотя помощь старшего поколения частично заменяет рыночные услуги по уходу за ребёнком, её нестабильность и отсутствие институциональных гарантий затрудняют системное разрешение противоречия между экономической активностью женщин и семейными обязанностями. В этих условиях возрастает значение формальных систем семейной поддержки, включая развитие дошкольного образования и служб ранней помощи семьям с маленькими детьми [7].</w:t>
      </w:r>
    </w:p>
    <w:p>
      <w:pPr>
        <w:pStyle w:val="Normal"/>
        <w:ind w:firstLine="397"/>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С точки зрения экономической политики развитие дошкольного образования целесообразно рассматривать как элемент комплексной семейной политики, сочетающий цели накопления человеческого капитала и повышения доступности занятости для женщин с детьми. На фоне снижения рождаемости усиление дошкольной инфраструктуры может дополняться налоговыми и трансфертными инструментами поддержки семей, что позволит более устойчиво согласовывать демографические и экономические цели.</w:t>
      </w:r>
    </w:p>
    <w:p>
      <w:pPr>
        <w:pStyle w:val="Normal"/>
        <w:jc w:val="center"/>
        <w:rPr>
          <w:rFonts w:ascii="Times New Roman" w:hAnsi="Times New Roman" w:eastAsia="Times New Roman" w:cs="Times New Roman"/>
          <w:strike w:val="false"/>
          <w:dstrike w:val="false"/>
          <w:color w:themeColor="text1" w:val="000000"/>
          <w:sz w:val="24"/>
          <w:lang w:val="ru-RU"/>
        </w:rPr>
      </w:pPr>
      <w:r>
        <w:rPr>
          <w:rFonts w:eastAsia="Times New Roman" w:cs="Times New Roman" w:ascii="Times New Roman" w:hAnsi="Times New Roman"/>
          <w:strike w:val="false"/>
          <w:dstrike w:val="false"/>
          <w:color w:themeColor="text1" w:val="000000"/>
          <w:sz w:val="24"/>
          <w:lang w:val="ru-RU"/>
        </w:rPr>
      </w:r>
    </w:p>
    <w:p>
      <w:pPr>
        <w:pStyle w:val="Normal"/>
        <w:shd w:val="clear" w:color="auto" w:fill="FFFFFF"/>
        <w:jc w:val="center"/>
        <w:rPr>
          <w:rFonts w:ascii="Times New Roman" w:hAnsi="Times New Roman" w:eastAsia="Times New Roman"/>
          <w:strike w:val="false"/>
          <w:dstrike w:val="false"/>
        </w:rPr>
      </w:pPr>
      <w:r>
        <w:rPr>
          <w:rFonts w:eastAsia="Times New Roman" w:ascii="Times New Roman" w:hAnsi="Times New Roman"/>
          <w:b/>
          <w:strike w:val="false"/>
          <w:dstrike w:val="false"/>
          <w:color w:themeColor="text1" w:val="000000"/>
          <w:sz w:val="24"/>
          <w:lang w:val="ru-RU"/>
        </w:rPr>
        <w:t>Литература</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1. Яо Сяньго, Тань Лань. Анализ влияния семейного дохода на решения об участии замужних женщин в рабочей силе городского Китая. – Экономические исследования, 2005, № 7. – С. 18–27.(</w:t>
      </w:r>
      <w:r>
        <w:rPr>
          <w:rFonts w:ascii="Times New Roman" w:hAnsi="Times New Roman" w:cs="Times New Roman" w:hint="eastAsia" w:eastAsia="Times New Roman"/>
          <w:strike w:val="false"/>
          <w:dstrike w:val="false"/>
          <w:color w:themeColor="text1" w:val="000000"/>
          <w:sz w:val="24"/>
        </w:rPr>
        <w:t>姚先国</w:t>
      </w:r>
      <w:r>
        <w:rPr>
          <w:rFonts w:eastAsia="Times New Roman" w:cs="Times New Roman" w:ascii="Times New Roman" w:hAnsi="Times New Roman"/>
          <w:strike w:val="false"/>
          <w:dstrike w:val="false"/>
          <w:color w:themeColor="text1" w:val="000000"/>
          <w:sz w:val="24"/>
          <w:lang w:val="ru-RU"/>
        </w:rPr>
        <w:t xml:space="preserve">, </w:t>
      </w:r>
      <w:r>
        <w:rPr>
          <w:rFonts w:ascii="Times New Roman" w:hAnsi="Times New Roman" w:cs="Times New Roman" w:hint="eastAsia" w:eastAsia="Times New Roman"/>
          <w:strike w:val="false"/>
          <w:dstrike w:val="false"/>
          <w:color w:themeColor="text1" w:val="000000"/>
          <w:sz w:val="24"/>
        </w:rPr>
        <w:t>谭岚</w:t>
      </w:r>
      <w:r>
        <w:rPr>
          <w:rFonts w:eastAsia="Times New Roman" w:cs="Times New Roman" w:ascii="Times New Roman" w:hAnsi="Times New Roman"/>
          <w:strike w:val="false"/>
          <w:dstrike w:val="false"/>
          <w:color w:themeColor="text1" w:val="000000"/>
          <w:sz w:val="24"/>
          <w:lang w:val="ru-RU"/>
        </w:rPr>
        <w:t xml:space="preserve">. </w:t>
      </w:r>
      <w:r>
        <w:rPr>
          <w:rFonts w:ascii="Times New Roman" w:hAnsi="Times New Roman" w:cs="Times New Roman" w:hint="eastAsia" w:eastAsia="Times New Roman"/>
          <w:strike w:val="false"/>
          <w:dstrike w:val="false"/>
          <w:color w:themeColor="text1" w:val="000000"/>
          <w:sz w:val="24"/>
        </w:rPr>
        <w:t>家庭收入与中国城镇已婚妇女劳动参与决策分析</w:t>
      </w:r>
      <w:r>
        <w:rPr>
          <w:rFonts w:eastAsia="Times New Roman" w:cs="Times New Roman" w:ascii="Times New Roman" w:hAnsi="Times New Roman"/>
          <w:strike w:val="false"/>
          <w:dstrike w:val="false"/>
          <w:color w:themeColor="text1" w:val="000000"/>
          <w:sz w:val="24"/>
          <w:lang w:val="ru-RU"/>
        </w:rPr>
        <w:t xml:space="preserve">. </w:t>
      </w:r>
      <w:r>
        <w:rPr>
          <w:rFonts w:ascii="Times New Roman" w:hAnsi="Times New Roman" w:cs="Times New Roman" w:hint="eastAsia" w:eastAsia="Times New Roman"/>
          <w:strike w:val="false"/>
          <w:dstrike w:val="false"/>
          <w:color w:themeColor="text1" w:val="000000"/>
          <w:sz w:val="24"/>
        </w:rPr>
        <w:t>经济研究</w:t>
      </w:r>
      <w:r>
        <w:rPr>
          <w:rFonts w:eastAsia="Times New Roman" w:cs="Times New Roman" w:ascii="Times New Roman" w:hAnsi="Times New Roman"/>
          <w:strike w:val="false"/>
          <w:dstrike w:val="false"/>
          <w:color w:themeColor="text1" w:val="000000"/>
          <w:sz w:val="24"/>
          <w:lang w:val="ru-RU"/>
        </w:rPr>
        <w:t>, 2005,(07),18–27) [на кит. яз.].</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lang w:val="ru-RU"/>
        </w:rPr>
        <w:t>2. Сюй Ци. От «премии за отцовство» к «штрафу за материнство»: влияние рождения детей на заработную плату мужчин и женщин в Китае и его динамика (1989–2015). – Социологические исследования, 2021, 36(5). – С. 1–24.(</w:t>
      </w:r>
      <w:r>
        <w:rPr>
          <w:rFonts w:ascii="Times New Roman" w:hAnsi="Times New Roman" w:cs="Times New Roman" w:hint="eastAsia" w:eastAsia="Times New Roman"/>
          <w:strike w:val="false"/>
          <w:dstrike w:val="false"/>
          <w:color w:themeColor="text1" w:val="000000"/>
          <w:sz w:val="24"/>
        </w:rPr>
        <w:t>许琪</w:t>
      </w:r>
      <w:r>
        <w:rPr>
          <w:rFonts w:eastAsia="Times New Roman" w:cs="Times New Roman" w:ascii="Times New Roman" w:hAnsi="Times New Roman"/>
          <w:strike w:val="false"/>
          <w:dstrike w:val="false"/>
          <w:color w:themeColor="text1" w:val="000000"/>
          <w:sz w:val="24"/>
          <w:lang w:val="ru-RU"/>
        </w:rPr>
        <w:t xml:space="preserve">. </w:t>
      </w:r>
      <w:r>
        <w:rPr>
          <w:rFonts w:ascii="Times New Roman" w:hAnsi="Times New Roman" w:cs="Times New Roman" w:hint="eastAsia" w:eastAsia="Times New Roman"/>
          <w:strike w:val="false"/>
          <w:dstrike w:val="false"/>
          <w:color w:themeColor="text1" w:val="000000"/>
          <w:sz w:val="24"/>
        </w:rPr>
        <w:t>从父职工资溢价到母职工资惩罚</w:t>
      </w:r>
      <w:r>
        <w:rPr>
          <w:rFonts w:ascii="Times New Roman" w:hAnsi="Times New Roman" w:cs="Times New Roman" w:eastAsia="Times New Roman"/>
          <w:strike w:val="false"/>
          <w:dstrike w:val="false"/>
          <w:color w:themeColor="text1" w:val="000000"/>
          <w:sz w:val="24"/>
          <w:lang w:val="ru-RU"/>
        </w:rPr>
        <w:t>——</w:t>
      </w:r>
      <w:r>
        <w:rPr>
          <w:rFonts w:ascii="Times New Roman" w:hAnsi="Times New Roman" w:cs="Times New Roman" w:hint="eastAsia" w:eastAsia="Times New Roman"/>
          <w:strike w:val="false"/>
          <w:dstrike w:val="false"/>
          <w:color w:themeColor="text1" w:val="000000"/>
          <w:sz w:val="24"/>
        </w:rPr>
        <w:t>生育对我国男女工资收入的影响及其变动趋势研究</w:t>
      </w:r>
      <w:r>
        <w:rPr>
          <w:rFonts w:eastAsia="Times New Roman" w:cs="Times New Roman" w:ascii="Times New Roman" w:hAnsi="Times New Roman"/>
          <w:strike w:val="false"/>
          <w:dstrike w:val="false"/>
          <w:color w:themeColor="text1" w:val="000000"/>
          <w:sz w:val="24"/>
          <w:lang w:val="ru-RU"/>
        </w:rPr>
        <w:t xml:space="preserve">(1989–2015). </w:t>
      </w:r>
      <w:r>
        <w:rPr>
          <w:rFonts w:ascii="Times New Roman" w:hAnsi="Times New Roman" w:cs="Times New Roman" w:hint="eastAsia" w:eastAsia="Times New Roman"/>
          <w:strike w:val="false"/>
          <w:dstrike w:val="false"/>
          <w:color w:themeColor="text1" w:val="000000"/>
          <w:sz w:val="24"/>
        </w:rPr>
        <w:t>社会学研究</w:t>
      </w:r>
      <w:r>
        <w:rPr>
          <w:rFonts w:eastAsia="Times New Roman" w:cs="Times New Roman" w:ascii="Times New Roman" w:hAnsi="Times New Roman"/>
          <w:strike w:val="false"/>
          <w:dstrike w:val="false"/>
          <w:color w:themeColor="text1" w:val="000000"/>
          <w:sz w:val="24"/>
          <w:lang w:val="ru-RU"/>
        </w:rPr>
        <w:t>, 2021, 36(05):1–24+226) [на кит. яз.].</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rPr>
        <w:t>3. Blau, D.; Robins, P. Child-care costs and family labor supply / The Review of Economics and Statistics. 1988. P. 374–381.</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rPr>
        <w:t>4. Blau, D.; Robins, P. Fertility, employment, and child-care costs / Demography. 1989. P. 287–293.</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rPr>
        <w:t>5. Blau, D.; Robins, P. Child care demand and labor supply of young mothers over time / Demography. 1991. P. 333–351.</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rPr>
        <w:t xml:space="preserve">6. </w:t>
      </w:r>
      <w:r>
        <w:rPr>
          <w:rFonts w:eastAsia="Times New Roman" w:cs="Times New Roman" w:ascii="Times New Roman" w:hAnsi="Times New Roman"/>
          <w:strike w:val="false"/>
          <w:dstrike w:val="false"/>
          <w:color w:themeColor="text1" w:val="000000"/>
          <w:sz w:val="24"/>
          <w:lang w:val="ru-RU"/>
        </w:rPr>
        <w:t>Гао</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Сюэхэн</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Минь</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Вэйфан</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Влияние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дошкольного</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образования</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на</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участие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рабочей</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силе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замужних</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женщин</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с</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детьми</w:t>
      </w:r>
      <w:r>
        <w:rPr>
          <w:rFonts w:eastAsia="Times New Roman" w:cs="Times New Roman" w:ascii="Times New Roman" w:hAnsi="Times New Roman"/>
          <w:strike w:val="false"/>
          <w:dstrike w:val="false"/>
          <w:color w:themeColor="text1" w:val="000000"/>
          <w:sz w:val="24"/>
        </w:rPr>
        <w:t xml:space="preserve">. – </w:t>
      </w:r>
      <w:r>
        <w:rPr>
          <w:rFonts w:eastAsia="Times New Roman" w:cs="Times New Roman" w:ascii="Times New Roman" w:hAnsi="Times New Roman"/>
          <w:strike w:val="false"/>
          <w:dstrike w:val="false"/>
          <w:color w:themeColor="text1" w:val="000000"/>
          <w:sz w:val="24"/>
          <w:lang w:val="ru-RU"/>
        </w:rPr>
        <w:t>Пекинское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университетское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образовательное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обозрение</w:t>
      </w:r>
      <w:r>
        <w:rPr>
          <w:rFonts w:eastAsia="Times New Roman" w:cs="Times New Roman" w:ascii="Times New Roman" w:hAnsi="Times New Roman"/>
          <w:strike w:val="false"/>
          <w:dstrike w:val="false"/>
          <w:color w:themeColor="text1" w:val="000000"/>
          <w:sz w:val="24"/>
        </w:rPr>
        <w:t xml:space="preserve">, 2022, 20(2). – </w:t>
      </w:r>
      <w:r>
        <w:rPr>
          <w:rFonts w:eastAsia="Times New Roman" w:cs="Times New Roman" w:ascii="Times New Roman" w:hAnsi="Times New Roman"/>
          <w:strike w:val="false"/>
          <w:dstrike w:val="false"/>
          <w:color w:themeColor="text1" w:val="000000"/>
          <w:sz w:val="24"/>
          <w:lang w:val="ru-RU"/>
        </w:rPr>
        <w:t>С</w:t>
      </w:r>
      <w:r>
        <w:rPr>
          <w:rFonts w:eastAsia="Times New Roman" w:cs="Times New Roman" w:ascii="Times New Roman" w:hAnsi="Times New Roman"/>
          <w:strike w:val="false"/>
          <w:dstrike w:val="false"/>
          <w:color w:themeColor="text1" w:val="000000"/>
          <w:sz w:val="24"/>
        </w:rPr>
        <w:t>. 109–124.(</w:t>
      </w:r>
      <w:r>
        <w:rPr>
          <w:rFonts w:ascii="Times New Roman" w:hAnsi="Times New Roman" w:cs="Times New Roman" w:hint="eastAsia" w:eastAsia="Times New Roman"/>
          <w:strike w:val="false"/>
          <w:dstrike w:val="false"/>
          <w:color w:themeColor="text1" w:val="000000"/>
          <w:sz w:val="24"/>
        </w:rPr>
        <w:t>高雪姮</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闵维方</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学前教育对婚育女性劳动参与的影响</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北京大学教育评论</w:t>
      </w:r>
      <w:r>
        <w:rPr>
          <w:rFonts w:eastAsia="Times New Roman" w:cs="Times New Roman" w:ascii="Times New Roman" w:hAnsi="Times New Roman"/>
          <w:strike w:val="false"/>
          <w:dstrike w:val="false"/>
          <w:color w:themeColor="text1" w:val="000000"/>
          <w:sz w:val="24"/>
        </w:rPr>
        <w:t>, 2022, 20(02):109–124+191) [</w:t>
      </w:r>
      <w:r>
        <w:rPr>
          <w:rFonts w:eastAsia="Times New Roman" w:cs="Times New Roman" w:ascii="Times New Roman" w:hAnsi="Times New Roman"/>
          <w:strike w:val="false"/>
          <w:dstrike w:val="false"/>
          <w:color w:themeColor="text1" w:val="000000"/>
          <w:sz w:val="24"/>
          <w:lang w:val="ru-RU"/>
        </w:rPr>
        <w:t>на</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кит</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яз</w:t>
      </w:r>
      <w:r>
        <w:rPr>
          <w:rFonts w:eastAsia="Times New Roman" w:cs="Times New Roman" w:ascii="Times New Roman" w:hAnsi="Times New Roman"/>
          <w:strike w:val="false"/>
          <w:dstrike w:val="false"/>
          <w:color w:themeColor="text1" w:val="000000"/>
          <w:sz w:val="24"/>
        </w:rPr>
        <w:t>.].</w:t>
      </w:r>
    </w:p>
    <w:p>
      <w:pPr>
        <w:pStyle w:val="Normal"/>
        <w:rPr>
          <w:rFonts w:ascii="Times New Roman" w:hAnsi="Times New Roman" w:eastAsia="Times New Roman"/>
          <w:strike w:val="false"/>
          <w:dstrike w:val="false"/>
        </w:rPr>
      </w:pPr>
      <w:r>
        <w:rPr>
          <w:rFonts w:eastAsia="Times New Roman" w:cs="Times New Roman" w:ascii="Times New Roman" w:hAnsi="Times New Roman"/>
          <w:strike w:val="false"/>
          <w:dstrike w:val="false"/>
          <w:color w:themeColor="text1" w:val="000000"/>
          <w:sz w:val="24"/>
        </w:rPr>
        <w:t xml:space="preserve">7. </w:t>
      </w:r>
      <w:r>
        <w:rPr>
          <w:rFonts w:eastAsia="Times New Roman" w:cs="Times New Roman" w:ascii="Times New Roman" w:hAnsi="Times New Roman"/>
          <w:strike w:val="false"/>
          <w:dstrike w:val="false"/>
          <w:color w:themeColor="text1" w:val="000000"/>
          <w:sz w:val="24"/>
          <w:lang w:val="ru-RU"/>
        </w:rPr>
        <w:t>Лу</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Хунъю</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Юй</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Цзиньлян</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Ду</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Исюань</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Вклад</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старшего</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поколения</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воспитание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внуков</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как</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фактор</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трудовой</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активности</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взрослых</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детей</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анализ</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на</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основе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микроданных</w:t>
      </w:r>
      <w:r>
        <w:rPr>
          <w:rFonts w:eastAsia="Times New Roman" w:cs="Times New Roman" w:ascii="Times New Roman" w:hAnsi="Times New Roman"/>
          <w:strike w:val="false"/>
          <w:dstrike w:val="false"/>
          <w:color w:themeColor="text1" w:val="000000"/>
          <w:sz w:val="24"/>
        </w:rPr>
        <w:t xml:space="preserve"> CFPS. – </w:t>
      </w:r>
      <w:r>
        <w:rPr>
          <w:rFonts w:eastAsia="Times New Roman" w:cs="Times New Roman" w:ascii="Times New Roman" w:hAnsi="Times New Roman"/>
          <w:strike w:val="false"/>
          <w:dstrike w:val="false"/>
          <w:color w:themeColor="text1" w:val="000000"/>
          <w:sz w:val="24"/>
          <w:lang w:val="ru-RU"/>
        </w:rPr>
        <w:t>Финансово</w:t>
      </w:r>
      <w:r>
        <w:rPr>
          <w:rFonts w:eastAsia="Times New Roman" w:cs="Times New Roman" w:ascii="Times New Roman" w:hAnsi="Times New Roman"/>
          <w:strike w:val="false"/>
          <w:dstrike w:val="false"/>
          <w:color w:themeColor="text1" w:val="000000"/>
          <w:sz w:val="24"/>
        </w:rPr>
        <w:t>-</w:t>
      </w:r>
      <w:r>
        <w:rPr>
          <w:rFonts w:eastAsia="Times New Roman" w:cs="Times New Roman" w:ascii="Times New Roman" w:hAnsi="Times New Roman"/>
          <w:strike w:val="false"/>
          <w:dstrike w:val="false"/>
          <w:color w:themeColor="text1" w:val="000000"/>
          <w:sz w:val="24"/>
          <w:lang w:val="ru-RU"/>
        </w:rPr>
        <w:t>экономические</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исследования</w:t>
      </w:r>
      <w:r>
        <w:rPr>
          <w:rFonts w:eastAsia="Times New Roman" w:cs="Times New Roman" w:ascii="Times New Roman" w:hAnsi="Times New Roman"/>
          <w:strike w:val="false"/>
          <w:dstrike w:val="false"/>
          <w:color w:themeColor="text1" w:val="000000"/>
          <w:sz w:val="24"/>
        </w:rPr>
        <w:t xml:space="preserve">, 2017, № 12. – </w:t>
      </w:r>
      <w:r>
        <w:rPr>
          <w:rFonts w:eastAsia="Times New Roman" w:cs="Times New Roman" w:ascii="Times New Roman" w:hAnsi="Times New Roman"/>
          <w:strike w:val="false"/>
          <w:dstrike w:val="false"/>
          <w:color w:themeColor="text1" w:val="000000"/>
          <w:sz w:val="24"/>
          <w:lang w:val="ru-RU"/>
        </w:rPr>
        <w:t>С</w:t>
      </w:r>
      <w:r>
        <w:rPr>
          <w:rFonts w:eastAsia="Times New Roman" w:cs="Times New Roman" w:ascii="Times New Roman" w:hAnsi="Times New Roman"/>
          <w:strike w:val="false"/>
          <w:dstrike w:val="false"/>
          <w:color w:themeColor="text1" w:val="000000"/>
          <w:sz w:val="24"/>
        </w:rPr>
        <w:t>. 4–16.(</w:t>
      </w:r>
      <w:r>
        <w:rPr>
          <w:rFonts w:ascii="Times New Roman" w:hAnsi="Times New Roman" w:cs="Times New Roman" w:hint="eastAsia" w:eastAsia="Times New Roman"/>
          <w:strike w:val="false"/>
          <w:dstrike w:val="false"/>
          <w:color w:themeColor="text1" w:val="000000"/>
          <w:sz w:val="24"/>
        </w:rPr>
        <w:t>卢洪友</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余锦亮</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杜亦譞</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老年父母照料家庭与成年子女劳动供给</w:t>
      </w:r>
      <w:r>
        <w:rPr>
          <w:rFonts w:ascii="Times New Roman" w:hAnsi="Times New Roman" w:cs="Times New Roman" w:eastAsia="Times New Roman"/>
          <w:strike w:val="false"/>
          <w:dstrike w:val="false"/>
          <w:color w:themeColor="text1" w:val="000000"/>
          <w:sz w:val="24"/>
        </w:rPr>
        <w:t>——</w:t>
      </w:r>
      <w:r>
        <w:rPr>
          <w:rFonts w:eastAsia="Times New Roman" w:cs="Times New Roman" w:ascii="Times New Roman" w:hAnsi="Times New Roman"/>
          <w:strike w:val="false"/>
          <w:dstrike w:val="false"/>
          <w:color w:themeColor="text1" w:val="000000"/>
          <w:sz w:val="24"/>
        </w:rPr>
        <w:t>CFPS</w:t>
      </w:r>
      <w:r>
        <w:rPr>
          <w:rFonts w:ascii="Times New Roman" w:hAnsi="Times New Roman" w:cs="Times New Roman" w:hint="eastAsia" w:eastAsia="Times New Roman"/>
          <w:strike w:val="false"/>
          <w:dstrike w:val="false"/>
          <w:color w:themeColor="text1" w:val="000000"/>
          <w:sz w:val="24"/>
        </w:rPr>
        <w:t>数据的分析</w:t>
      </w:r>
      <w:r>
        <w:rPr>
          <w:rFonts w:eastAsia="Times New Roman" w:cs="Times New Roman" w:ascii="Times New Roman" w:hAnsi="Times New Roman"/>
          <w:strike w:val="false"/>
          <w:dstrike w:val="false"/>
          <w:color w:themeColor="text1" w:val="000000"/>
          <w:sz w:val="24"/>
        </w:rPr>
        <w:t xml:space="preserve">. </w:t>
      </w:r>
      <w:r>
        <w:rPr>
          <w:rFonts w:ascii="Times New Roman" w:hAnsi="Times New Roman" w:cs="Times New Roman" w:hint="eastAsia" w:eastAsia="Times New Roman"/>
          <w:strike w:val="false"/>
          <w:dstrike w:val="false"/>
          <w:color w:themeColor="text1" w:val="000000"/>
          <w:sz w:val="24"/>
        </w:rPr>
        <w:t>财经研究</w:t>
      </w:r>
      <w:r>
        <w:rPr>
          <w:rFonts w:eastAsia="Times New Roman" w:cs="Times New Roman" w:ascii="Times New Roman" w:hAnsi="Times New Roman"/>
          <w:strike w:val="false"/>
          <w:dstrike w:val="false"/>
          <w:color w:themeColor="text1" w:val="000000"/>
          <w:sz w:val="24"/>
        </w:rPr>
        <w:t>, 2017,(12),4–16) [</w:t>
      </w:r>
      <w:r>
        <w:rPr>
          <w:rFonts w:eastAsia="Times New Roman" w:cs="Times New Roman" w:ascii="Times New Roman" w:hAnsi="Times New Roman"/>
          <w:strike w:val="false"/>
          <w:dstrike w:val="false"/>
          <w:color w:themeColor="text1" w:val="000000"/>
          <w:sz w:val="24"/>
          <w:lang w:val="ru-RU"/>
        </w:rPr>
        <w:t>на</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кит</w:t>
      </w:r>
      <w:r>
        <w:rPr>
          <w:rFonts w:eastAsia="Times New Roman" w:cs="Times New Roman" w:ascii="Times New Roman" w:hAnsi="Times New Roman"/>
          <w:strike w:val="false"/>
          <w:dstrike w:val="false"/>
          <w:color w:themeColor="text1" w:val="000000"/>
          <w:sz w:val="24"/>
        </w:rPr>
        <w:t xml:space="preserve">. </w:t>
      </w:r>
      <w:r>
        <w:rPr>
          <w:rFonts w:eastAsia="Times New Roman" w:cs="Times New Roman" w:ascii="Times New Roman" w:hAnsi="Times New Roman"/>
          <w:strike w:val="false"/>
          <w:dstrike w:val="false"/>
          <w:color w:themeColor="text1" w:val="000000"/>
          <w:sz w:val="24"/>
          <w:lang w:val="ru-RU"/>
        </w:rPr>
        <w:t>яз</w:t>
      </w:r>
      <w:r>
        <w:rPr>
          <w:rFonts w:eastAsia="Times New Roman" w:cs="Times New Roman" w:ascii="Times New Roman" w:hAnsi="Times New Roman"/>
          <w:strike w:val="false"/>
          <w:dstrike w:val="false"/>
          <w:color w:themeColor="text1" w:val="000000"/>
          <w:sz w:val="24"/>
        </w:rPr>
        <w:t>.].</w:t>
      </w:r>
    </w:p>
    <w:sectPr>
      <w:type w:val="nextPage"/>
      <w:pgSz w:w="11906" w:h="16838"/>
      <w:pgMar w:left="1361" w:right="136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037"/>
    <w:pPr>
      <w:widowControl w:val="false"/>
      <w:bidi w:val="0"/>
      <w:spacing w:lineRule="auto" w:line="240" w:before="0" w:after="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LibreOffice/25.8.2.2$Windows_X86_64 LibreOffice_project/d401f2107ccab8f924a8e2df40f573aab7605b6f</Application>
  <AppVersion>15.0000</AppVersion>
  <Pages>2</Pages>
  <Words>1015</Words>
  <Characters>6045</Characters>
  <CharactersWithSpaces>6893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2026-03-10T19:55:00Z</dcterms:created>
  <dc:creator>Lenovo</dc:creator>
  <dc:description/>
  <dc:language>ru-RU</dc:language>
  <cp:lastModifiedBy/>
  <dcterms:modified xsi:type="dcterms:W3CDTF">2026-04-22T18:17:52Z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