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2D4D">
      <w:pPr>
        <w:jc w:val="center"/>
        <w:rPr>
          <w:rFonts w:cs="Times New Roman"/>
          <w:b/>
          <w:bCs/>
          <w:sz w:val="24"/>
          <w:lang w:val="ru-RU"/>
        </w:rPr>
      </w:pPr>
      <w:r>
        <w:rPr>
          <w:rFonts w:cs="Times New Roman"/>
          <w:b/>
          <w:bCs/>
          <w:sz w:val="24"/>
          <w:lang w:val="ru-RU"/>
        </w:rPr>
        <w:t>Истоки перевода русской литературы в Китае</w:t>
      </w:r>
    </w:p>
    <w:p w14:paraId="5A9FCAF9">
      <w:pPr>
        <w:jc w:val="center"/>
        <w:rPr>
          <w:rFonts w:cs="Times New Roman"/>
          <w:b/>
          <w:bCs/>
          <w:i/>
          <w:iCs/>
          <w:sz w:val="24"/>
          <w:lang w:val="ru-RU"/>
        </w:rPr>
      </w:pPr>
      <w:r>
        <w:rPr>
          <w:rFonts w:cs="Times New Roman"/>
          <w:b/>
          <w:bCs/>
          <w:i/>
          <w:iCs/>
          <w:sz w:val="24"/>
          <w:lang w:val="ru-RU"/>
        </w:rPr>
        <w:t>Сун Гуйюй</w:t>
      </w:r>
    </w:p>
    <w:p w14:paraId="72360383">
      <w:pPr>
        <w:jc w:val="center"/>
        <w:rPr>
          <w:rFonts w:cs="Times New Roman"/>
          <w:b/>
          <w:bCs/>
          <w:i/>
          <w:iCs/>
          <w:sz w:val="24"/>
          <w:lang w:val="ru-RU"/>
        </w:rPr>
      </w:pPr>
      <w:r>
        <w:rPr>
          <w:rFonts w:cs="Times New Roman"/>
          <w:b/>
          <w:bCs/>
          <w:i/>
          <w:iCs/>
          <w:sz w:val="24"/>
          <w:lang w:val="ru-RU"/>
        </w:rPr>
        <w:t>Студент (магистр)</w:t>
      </w:r>
    </w:p>
    <w:p w14:paraId="1D31B7AC">
      <w:pPr>
        <w:jc w:val="center"/>
        <w:rPr>
          <w:rFonts w:cs="Times New Roman"/>
          <w:i/>
          <w:iCs/>
          <w:sz w:val="24"/>
          <w:lang w:val="ru-RU"/>
        </w:rPr>
      </w:pPr>
      <w:r>
        <w:rPr>
          <w:rFonts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14:paraId="175FF75C">
      <w:pPr>
        <w:jc w:val="center"/>
        <w:rPr>
          <w:rFonts w:cs="Times New Roman"/>
          <w:i/>
          <w:iCs/>
          <w:sz w:val="24"/>
          <w:lang w:val="ru-RU"/>
        </w:rPr>
      </w:pPr>
      <w:r>
        <w:rPr>
          <w:rFonts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57A14EE6">
      <w:pPr>
        <w:jc w:val="center"/>
        <w:rPr>
          <w:rFonts w:hint="default" w:cs="Times New Roman" w:eastAsiaTheme="minorEastAsia"/>
          <w:i/>
          <w:iCs/>
          <w:sz w:val="24"/>
          <w:lang w:val="en-US" w:eastAsia="zh-CN"/>
        </w:rPr>
      </w:pPr>
      <w:r>
        <w:rPr>
          <w:rFonts w:cs="Times New Roman"/>
          <w:i/>
          <w:iCs/>
          <w:sz w:val="24"/>
          <w:lang w:val="en-GB"/>
        </w:rPr>
        <w:t>E</w:t>
      </w:r>
      <w:r>
        <w:rPr>
          <w:rFonts w:cs="Times New Roman"/>
          <w:i/>
          <w:iCs/>
          <w:sz w:val="24"/>
          <w:lang w:val="ru-RU"/>
        </w:rPr>
        <w:t>-</w:t>
      </w:r>
      <w:r>
        <w:rPr>
          <w:rFonts w:cs="Times New Roman"/>
          <w:i/>
          <w:iCs/>
          <w:sz w:val="24"/>
          <w:lang w:val="en-GB"/>
        </w:rPr>
        <w:t>mail</w:t>
      </w:r>
      <w:r>
        <w:rPr>
          <w:rFonts w:cs="Times New Roman"/>
          <w:i/>
          <w:iCs/>
          <w:sz w:val="24"/>
          <w:lang w:val="ru-RU"/>
        </w:rPr>
        <w:t>:</w:t>
      </w:r>
      <w:r>
        <w:rPr>
          <w:rFonts w:hint="eastAsia" w:cs="Times New Roman"/>
          <w:i/>
          <w:iCs/>
          <w:sz w:val="24"/>
          <w:lang w:val="en-US" w:eastAsia="zh-CN"/>
        </w:rPr>
        <w:t>2404498442@qq.com</w:t>
      </w:r>
    </w:p>
    <w:p w14:paraId="59C5E10B"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A3C710">
      <w:pPr>
        <w:spacing w:after="0" w:line="240" w:lineRule="auto"/>
        <w:ind w:firstLine="397"/>
        <w:jc w:val="both"/>
        <w:rPr>
          <w:rFonts w:hint="eastAsia" w:cs="Times New Roman"/>
          <w:sz w:val="24"/>
          <w:szCs w:val="24"/>
          <w:lang w:val="en-US" w:eastAsia="zh-CN"/>
          <w14:ligatures w14:val="standardContextual"/>
        </w:rPr>
      </w:pPr>
      <w:r>
        <w:rPr>
          <w:rFonts w:hint="default" w:ascii="Times New Roman" w:hAnsi="Times New Roman" w:cs="Times New Roman"/>
          <w:sz w:val="24"/>
          <w:lang w:val="ru-RU"/>
          <w14:ligatures w14:val="standardContextual"/>
        </w:rPr>
        <w:t>Изучение истории перевода произведений русской литературы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 в Китае представляет собой исследование истории переводов русской литературы и культурных контактов между Китаем и Россией на раннем этапе. Данная статья, анализирует первые доступные на сегодняшний день и документально подтверждённые переводы произведений русской литературы в Китае. В статье анализируются способы перевода, причины, по которым переводчики занимались своей работой, и и</w:t>
      </w:r>
      <w:r>
        <w:rPr>
          <w:rFonts w:hint="default" w:ascii="Times New Roman" w:hAnsi="Times New Roman" w:cs="Times New Roman"/>
          <w:sz w:val="24"/>
          <w:szCs w:val="24"/>
          <w:lang w:val="ru-RU"/>
          <w14:ligatures w14:val="standardContextual"/>
        </w:rPr>
        <w:t>сторический контекст</w:t>
      </w:r>
      <w:r>
        <w:rPr>
          <w:rFonts w:hint="eastAsia" w:cs="Times New Roman"/>
          <w:sz w:val="24"/>
          <w:szCs w:val="24"/>
          <w:lang w:val="en-US" w:eastAsia="zh-CN"/>
          <w14:ligatures w14:val="standardContextual"/>
        </w:rPr>
        <w:t xml:space="preserve">. </w:t>
      </w:r>
    </w:p>
    <w:p w14:paraId="45F5BC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С</w:t>
      </w:r>
      <w:r>
        <w:rPr>
          <w:rFonts w:hint="eastAsia" w:cs="Times New Roman"/>
          <w:sz w:val="24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началом Опиумной войны в 1840 году ситуация в Китае сильно изменилась</w:t>
      </w:r>
      <w:r>
        <w:rPr>
          <w:rFonts w:hint="eastAsia" w:cs="Times New Roman"/>
          <w:sz w:val="24"/>
          <w:lang w:val="en-US" w:eastAsia="zh-CN"/>
          <w14:ligatures w14:val="standardContextual"/>
        </w:rPr>
        <w:t xml:space="preserve"> .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Политика «закрытых дверей», которую раньше проводило правительство Цин, перестала работать. Китай постепенно терял независимость. Из феодального государства он превращался в полуколонию и полуфеодальное общество.</w:t>
      </w:r>
      <w:r>
        <w:rPr>
          <w:rFonts w:hint="eastAsia" w:cs="Times New Roman"/>
          <w:sz w:val="24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В это время такие учёные и государственные деятели как Линь Цзэсюй и Вэй Юань поняли, что нужно изучать другие страны. Они составили труды «Сычжоучжи» (Записи о четырех континентах) и «Хайго тучжи» (Иллюстрированные записи о заморских государствах), выдвинув передовую для того времени идею: «учиться передовым технологиям у варваров, чтобы сдерживать</w:t>
      </w:r>
      <w:r>
        <w:rPr>
          <w:rFonts w:hint="eastAsia" w:cs="Times New Roman"/>
          <w:sz w:val="24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их». Однако подавляющее большинство людей по-прежнему придерживалось традиций и относилось к западной науке пренебрежительно.</w:t>
      </w:r>
      <w:bookmarkStart w:id="0" w:name="_GoBack"/>
      <w:bookmarkEnd w:id="0"/>
    </w:p>
    <w:p w14:paraId="7F430F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Лишь</w:t>
      </w:r>
      <w:r>
        <w:rPr>
          <w:rFonts w:hint="eastAsia" w:cs="Times New Roman"/>
          <w:sz w:val="24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в 60-е годы XIX века, столкнувшись с тяжелыми крестьянскими восстаниями, включая Тайпинское и поражения во Второй Опиумной войне, часть феодальных чиновников и интеллигенции была вынуждена признать реальность и приступить к реализации политики «самоусиления» (янъу юньдун). Они выступали за заимствование западных военных и промышленных технологий с целью «достижения могущества». В сфере культуры и образования они провели реформы: открыли новые учебные заведения, такие как Пекинский университет международных отношений (Тунвэньгуань) и переводческие бюро, чтобы готовить переводчиков и специалистов по международным делам.</w:t>
      </w:r>
    </w:p>
    <w:p w14:paraId="6A7ADD4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В это же время набирал силу процесс проникновения западных знаний на Восток. Западные миссионеры, прибывшие в Китай, начали издавать журналы, целью которых было знакомство с политическими, экономическими и культурными достижениями Запада, распространение западных идей. Некоторые издания также стали публиковать переводы немногочисленных литературных произведений. Именно в таком историческом контексте в Китае и появились первые переводы произведений русской литературы. </w:t>
      </w:r>
    </w:p>
    <w:p w14:paraId="1BE0C6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По данным текстологических исследований китайского ученого Чэнь Цзяньхуа, в 1872 году в Китае начал выходить первый комплексный журнал, посвященный западной культуре, науке и технике, — «Пекинский журнал» (кит. «Чжунси вэньцзянь лу»). Именно на страницах этого издания было впервые опубликовано произведение русской литературы — «Басня русского человека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footnoteReference w:id="0"/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». Переводчиком выступил американец Уильям Александер Парсонс Мартин (в китайской традиции Дин Вэйлян). «Пекинский журнал» стал первым современным периодическим изданием в столице Китая. Он выходил с августа 1872 по август 1875 года, всего увидели свет 36 номеров. Главным редактором был Мартин, в состав редакции также входили английские миссионеры Джозеф Эдкинс и Джон Бёрдон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footnoteReference w:id="1"/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. Мартин (William Alexander Parsons Martin, 1827–1916) — один из первых американских миссионеров, прибывших в Китай в новое время. Он прожил в Китае 62 года (1850–1916, за исключением четырёх лет в период движения тайпинов), его целью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footnoteReference w:id="2"/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 было распространение христианского учения через знакомство с западной наукой и культурой. Кроме того, он много лет занимался переводами, преподаванием и долгое время возглавлял такие известные учебные заведения, как Пекинский университет международных отношений (Тунвэньгуань) и Императорский университет Столицы (предшественник Пекинского университета).</w:t>
      </w:r>
    </w:p>
    <w:p w14:paraId="6DFE4F3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Содержание басни, послужившей оригиналом для перевода Мартина чрезвычайно близко к басне Льва Толстого «Два товарища», также опубликованной в 1872 году. Оба произведения объединены темой истинной дружбы, проходящей проверку в минуту опасности и критикой эгоистичной дружбы. По данным исследований Чэнь Цзяньхуа, несмотря на близость содержания и времени публикации, версия Толстого «Два товарища» вышла в свет в ноябре 1872 года, в то время как «Басня русского человека» была опубликована уже в августе. Хотя это исключает прямое заимствование, оно даёт и ключ к разгадке: толстовская версия «Двух товарищей» является переработкой более раннего сюжета «Два друга», а на Руси издавна бытовали схожие басни или народные сказки. </w:t>
      </w:r>
    </w:p>
    <w:p w14:paraId="5031C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>После публикации «Басни русского человека» прошло тридцать лет, прежде чем в Китае появился второй перевод произведения русской литературы. В 1899 году в шанхайском журнале «Ваньго гунбао» (The Review of the Times, выпуски № 131–136) в рамках публикации «</w:t>
      </w:r>
      <w:r>
        <w:rPr>
          <w:rFonts w:hint="default" w:ascii="Times New Roman" w:hAnsi="Times New Roman" w:cs="Times New Roman"/>
          <w:sz w:val="24"/>
          <w:lang w:val="ru-RU"/>
          <w14:ligatures w14:val="standardContextual"/>
        </w:rPr>
        <w:t>Русская политика и народные исследования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>» были напечатаны три басни Крылова, переведённые с английского издания Индийского общества распространения знаний. До этого в Китае встречались лишь краткие упоминания о русских писателях, например, в июньском номере журнала «Шиу бао» за 1897 год, где была переведена статья японского автора Кодзё Тэйити «О природе русских»; также выходили публикации или заметки о положении дел и обществе в России, но они в основном не относились к категории художественной литературы.</w:t>
      </w:r>
    </w:p>
    <w:p w14:paraId="2121ED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Такой путь переводов — через язык-посредник — как раз отражает характерную черту раннего этапа китайско-русских литературных связей: русская литература первоначально входила в Китай не напрямую, а через переводы с других языков. Небольшое количество переводов произведений русской литературы также свидетельствует о том, что в Китае конца XIX века ещё не было высокого уровня восприятия русской словесности. Лишь к началу XX века </w:t>
      </w:r>
      <w:r>
        <w:rPr>
          <w:rFonts w:hint="default" w:ascii="Times New Roman" w:hAnsi="Times New Roman" w:cs="Times New Roman"/>
          <w:sz w:val="24"/>
          <w:lang w:val="ru-RU" w:eastAsia="zh-CN"/>
          <w14:ligatures w14:val="standardContextual"/>
        </w:rPr>
        <w:t>развитие перевода произведений русской литературы</w:t>
      </w:r>
      <w:r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 вступило в период бурного роста.</w:t>
      </w:r>
    </w:p>
    <w:p w14:paraId="2D9A92B9">
      <w:pPr>
        <w:bidi w:val="0"/>
        <w:jc w:val="center"/>
        <w:rPr>
          <w:lang w:val="ru-RU"/>
        </w:rPr>
      </w:pPr>
      <w:r>
        <w:rPr>
          <w:lang w:val="ru-RU"/>
        </w:rPr>
        <w:t>Литература</w:t>
      </w:r>
    </w:p>
    <w:p w14:paraId="1DFB8991">
      <w:pPr>
        <w:numPr>
          <w:ilvl w:val="0"/>
          <w:numId w:val="1"/>
        </w:numPr>
        <w:ind w:left="425" w:leftChars="0" w:hanging="425" w:firstLineChars="0"/>
        <w:rPr>
          <w:rFonts w:cs="Times New Roman" w:eastAsiaTheme="minorEastAsia"/>
          <w:sz w:val="24"/>
          <w:lang w:val="ru-RU"/>
        </w:rPr>
      </w:pPr>
      <w:r>
        <w:rPr>
          <w:rFonts w:cs="Times New Roman" w:eastAsiaTheme="minorEastAsia"/>
          <w:sz w:val="24"/>
          <w:lang w:val="ru-RU"/>
        </w:rPr>
        <w:t>«Распространение и восприятие русской и советской литературы в Китае»</w:t>
      </w:r>
      <w:r>
        <w:rPr>
          <w:rFonts w:cs="Times New Roman" w:eastAsiaTheme="minorEastAsia"/>
          <w:sz w:val="24"/>
        </w:rPr>
        <w:t>Chen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Guoen</w:t>
      </w:r>
      <w:r>
        <w:rPr>
          <w:rFonts w:cs="Times New Roman" w:eastAsiaTheme="minorEastAsia"/>
          <w:sz w:val="24"/>
          <w:lang w:val="ru-RU"/>
        </w:rPr>
        <w:t xml:space="preserve">, </w:t>
      </w:r>
      <w:r>
        <w:rPr>
          <w:rFonts w:cs="Times New Roman" w:eastAsiaTheme="minorEastAsia"/>
          <w:sz w:val="24"/>
        </w:rPr>
        <w:t>Zhuang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Guicheng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etc</w:t>
      </w:r>
      <w:r>
        <w:rPr>
          <w:rFonts w:cs="Times New Roman" w:eastAsiaTheme="minorEastAsia"/>
          <w:sz w:val="24"/>
          <w:lang w:val="ru-RU"/>
        </w:rPr>
        <w:t xml:space="preserve">. </w:t>
      </w:r>
      <w:r>
        <w:rPr>
          <w:rFonts w:cs="Times New Roman" w:eastAsiaTheme="minorEastAsia"/>
          <w:sz w:val="24"/>
        </w:rPr>
        <w:t>ISBN</w:t>
      </w:r>
      <w:r>
        <w:rPr>
          <w:rFonts w:cs="Times New Roman" w:eastAsiaTheme="minorEastAsia"/>
          <w:sz w:val="24"/>
          <w:lang w:val="ru-RU"/>
        </w:rPr>
        <w:t xml:space="preserve"> 13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cs="Times New Roman" w:eastAsiaTheme="minorEastAsia"/>
          <w:sz w:val="24"/>
          <w:lang w:val="ru-RU"/>
        </w:rPr>
        <w:t>9787500479659(</w:t>
      </w:r>
      <w:r>
        <w:rPr>
          <w:rFonts w:hint="eastAsia" w:cs="Times New Roman"/>
          <w:sz w:val="24"/>
          <w:lang w:val="en-US" w:eastAsia="zh-CN"/>
        </w:rPr>
        <w:t>俄苏文学在中国的传播与接受陈国恩，庄桂成，雍青等著)</w:t>
      </w:r>
    </w:p>
    <w:p w14:paraId="55D948A8">
      <w:pPr>
        <w:numPr>
          <w:ilvl w:val="0"/>
          <w:numId w:val="1"/>
        </w:numPr>
        <w:ind w:left="425" w:leftChars="0" w:hanging="425" w:firstLineChars="0"/>
        <w:rPr>
          <w:rFonts w:cs="Times New Roman" w:eastAsiaTheme="minorEastAsia"/>
          <w:sz w:val="24"/>
          <w:lang w:val="ru-RU"/>
        </w:rPr>
      </w:pPr>
      <w:r>
        <w:rPr>
          <w:rFonts w:cs="Times New Roman" w:eastAsiaTheme="minorEastAsia"/>
          <w:sz w:val="24"/>
          <w:lang w:val="ru-RU"/>
        </w:rPr>
        <w:t xml:space="preserve">«История китайско-русских литературных связей в </w:t>
      </w:r>
      <w:r>
        <w:rPr>
          <w:rFonts w:cs="Times New Roman" w:eastAsiaTheme="minorEastAsia"/>
          <w:sz w:val="24"/>
        </w:rPr>
        <w:t>XX</w:t>
      </w:r>
      <w:r>
        <w:rPr>
          <w:rFonts w:cs="Times New Roman" w:eastAsiaTheme="minorEastAsia"/>
          <w:sz w:val="24"/>
          <w:lang w:val="ru-RU"/>
        </w:rPr>
        <w:t xml:space="preserve"> веке»</w:t>
      </w:r>
      <w:r>
        <w:rPr>
          <w:rFonts w:hint="eastAsia" w:cs="Times New Roman" w:eastAsiaTheme="minorEastAsia"/>
          <w:sz w:val="24"/>
          <w:lang w:val="en-US" w:eastAsia="zh-CN"/>
        </w:rPr>
        <w:t xml:space="preserve"> </w:t>
      </w:r>
      <w:r>
        <w:rPr>
          <w:rFonts w:cs="Times New Roman" w:eastAsiaTheme="minorEastAsia"/>
          <w:sz w:val="24"/>
          <w:lang w:val="ru-RU"/>
        </w:rPr>
        <w:t>подробнее см. Чэнь Цзяньхуа</w:t>
      </w:r>
      <w:r>
        <w:rPr>
          <w:rFonts w:hint="eastAsia" w:cs="Times New Roman" w:eastAsiaTheme="minorEastAsia"/>
          <w:sz w:val="24"/>
          <w:lang w:val="en-US" w:eastAsia="zh-CN"/>
        </w:rPr>
        <w:t>,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ISBN</w:t>
      </w:r>
      <w:r>
        <w:rPr>
          <w:rFonts w:cs="Times New Roman" w:eastAsiaTheme="minorEastAsia"/>
          <w:sz w:val="24"/>
          <w:lang w:val="ru-RU"/>
        </w:rPr>
        <w:t xml:space="preserve"> 9787040107241</w:t>
      </w:r>
      <w:r>
        <w:rPr>
          <w:rFonts w:hint="eastAsia" w:cs="Times New Roman"/>
          <w:sz w:val="24"/>
          <w:lang w:val="en-US" w:eastAsia="zh-CN"/>
        </w:rPr>
        <w:t>(</w:t>
      </w:r>
      <w:r>
        <w:rPr>
          <w:rFonts w:ascii="宋体" w:hAnsi="宋体" w:eastAsia="宋体" w:cs="宋体"/>
          <w:sz w:val="24"/>
          <w:szCs w:val="24"/>
        </w:rPr>
        <w:t>陈建华.二十世纪中俄文学关系</w:t>
      </w:r>
      <w:r>
        <w:rPr>
          <w:rFonts w:hint="eastAsia" w:cs="Times New Roman"/>
          <w:sz w:val="24"/>
          <w:lang w:val="en-US" w:eastAsia="zh-CN"/>
        </w:rPr>
        <w:t>)</w:t>
      </w:r>
    </w:p>
    <w:p w14:paraId="0BC52BBA">
      <w:pPr>
        <w:numPr>
          <w:ilvl w:val="0"/>
          <w:numId w:val="1"/>
        </w:numPr>
        <w:ind w:left="425" w:leftChars="0" w:hanging="425" w:firstLineChars="0"/>
        <w:rPr>
          <w:rFonts w:cs="Times New Roman" w:eastAsiaTheme="minorEastAsia"/>
          <w:sz w:val="24"/>
          <w:lang w:val="ru-RU"/>
        </w:rPr>
      </w:pPr>
      <w:r>
        <w:rPr>
          <w:rFonts w:cs="Times New Roman" w:eastAsiaTheme="minorEastAsia"/>
          <w:sz w:val="24"/>
          <w:lang w:val="ru-RU"/>
        </w:rPr>
        <w:t>«У. А. П. Мартин и обмен китайской и западной культурами в современную эпоху»</w:t>
      </w:r>
      <w:r>
        <w:rPr>
          <w:rFonts w:hint="eastAsia" w:cs="Times New Roman"/>
          <w:sz w:val="24"/>
          <w:lang w:val="en-US" w:eastAsia="zh-CN"/>
        </w:rPr>
        <w:t xml:space="preserve"> : </w:t>
      </w:r>
      <w:r>
        <w:rPr>
          <w:rFonts w:cs="Times New Roman" w:eastAsiaTheme="minorEastAsia"/>
          <w:sz w:val="24"/>
          <w:lang w:val="ru-RU"/>
        </w:rPr>
        <w:t>см</w:t>
      </w:r>
      <w:r>
        <w:rPr>
          <w:rFonts w:hint="eastAsia" w:cs="Times New Roman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lang w:val="en-US" w:eastAsia="zh-CN"/>
        </w:rPr>
        <w:t>Фу Деюань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cs="Times New Roman" w:eastAsiaTheme="minorEastAsia"/>
          <w:sz w:val="24"/>
        </w:rPr>
        <w:t>ISBN</w:t>
      </w:r>
      <w:r>
        <w:rPr>
          <w:rFonts w:cs="Times New Roman" w:eastAsiaTheme="minorEastAsia"/>
          <w:sz w:val="24"/>
          <w:lang w:val="ru-RU"/>
        </w:rPr>
        <w:t xml:space="preserve"> 13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cs="Times New Roman" w:eastAsiaTheme="minorEastAsia"/>
          <w:sz w:val="24"/>
          <w:lang w:val="ru-RU"/>
        </w:rPr>
        <w:t>9789860394030(</w:t>
      </w:r>
      <w:r>
        <w:rPr>
          <w:rFonts w:hint="eastAsia" w:cs="Times New Roman" w:eastAsiaTheme="minorEastAsia"/>
          <w:sz w:val="24"/>
          <w:lang w:val="ru-RU"/>
        </w:rPr>
        <w:t>傅德元</w:t>
      </w:r>
      <w:r>
        <w:rPr>
          <w:rFonts w:hint="eastAsia" w:cs="Times New Roman"/>
          <w:sz w:val="24"/>
          <w:lang w:val="en-US" w:eastAsia="zh-CN"/>
        </w:rPr>
        <w:t>.</w:t>
      </w:r>
      <w:r>
        <w:rPr>
          <w:rFonts w:hint="eastAsia" w:cs="Times New Roman" w:eastAsiaTheme="minorEastAsia"/>
          <w:sz w:val="24"/>
          <w:lang w:val="ru-RU"/>
        </w:rPr>
        <w:t>丁韪良与近代中西文化交流</w:t>
      </w:r>
      <w:r>
        <w:rPr>
          <w:rFonts w:hint="eastAsia" w:cs="Times New Roman"/>
          <w:sz w:val="24"/>
          <w:lang w:val="en-US" w:eastAsia="zh-CN"/>
        </w:rPr>
        <w:t>)</w:t>
      </w:r>
    </w:p>
    <w:p w14:paraId="262B381E">
      <w:pPr>
        <w:numPr>
          <w:ilvl w:val="0"/>
          <w:numId w:val="1"/>
        </w:numPr>
        <w:ind w:left="425" w:leftChars="0" w:hanging="425" w:firstLineChars="0"/>
        <w:rPr>
          <w:rFonts w:cs="Times New Roman" w:eastAsiaTheme="minorEastAsia"/>
          <w:sz w:val="24"/>
          <w:lang w:val="ru-RU"/>
        </w:rPr>
      </w:pPr>
      <w:r>
        <w:rPr>
          <w:rFonts w:cs="Times New Roman" w:eastAsiaTheme="minorEastAsia"/>
          <w:sz w:val="24"/>
          <w:lang w:val="ru-RU"/>
        </w:rPr>
        <w:t>«История и теория китаеведения русской и советской литературы»подробнее см. Чэнь Цзяньхуа</w:t>
      </w:r>
      <w:r>
        <w:rPr>
          <w:rFonts w:hint="eastAsia" w:cs="Times New Roman" w:eastAsiaTheme="minorEastAsia"/>
          <w:sz w:val="24"/>
          <w:lang w:val="en-US" w:eastAsia="zh-CN"/>
        </w:rPr>
        <w:t>,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ISBN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cs="Times New Roman" w:eastAsiaTheme="minorEastAsia"/>
          <w:sz w:val="24"/>
          <w:lang w:val="ru-RU"/>
        </w:rPr>
        <w:t>11877927</w:t>
      </w:r>
      <w:r>
        <w:rPr>
          <w:rFonts w:hint="eastAsia" w:cs="Times New Roman"/>
          <w:sz w:val="24"/>
          <w:lang w:val="en-US" w:eastAsia="zh-CN"/>
        </w:rPr>
        <w:t>(</w:t>
      </w:r>
      <w:r>
        <w:rPr>
          <w:rFonts w:ascii="宋体" w:hAnsi="宋体" w:eastAsia="宋体" w:cs="宋体"/>
          <w:sz w:val="24"/>
          <w:szCs w:val="24"/>
        </w:rPr>
        <w:t>陈建华.</w:t>
      </w:r>
      <w:r>
        <w:rPr>
          <w:rFonts w:hint="eastAsia" w:cs="Times New Roman"/>
          <w:sz w:val="24"/>
          <w:lang w:val="en-US" w:eastAsia="zh-CN"/>
        </w:rPr>
        <w:t>中国俄苏文学研究史论 第1卷)</w:t>
      </w:r>
    </w:p>
    <w:p w14:paraId="63149D8E">
      <w:pPr>
        <w:numPr>
          <w:ilvl w:val="0"/>
          <w:numId w:val="1"/>
        </w:numPr>
        <w:ind w:left="425" w:leftChars="0" w:hanging="425" w:firstLineChars="0"/>
        <w:rPr>
          <w:rFonts w:cs="Times New Roman" w:eastAsiaTheme="minorEastAsia"/>
          <w:sz w:val="24"/>
          <w:lang w:val="ru-RU"/>
        </w:rPr>
      </w:pPr>
      <w:r>
        <w:rPr>
          <w:rFonts w:cs="Times New Roman" w:eastAsiaTheme="minorEastAsia"/>
          <w:sz w:val="24"/>
          <w:lang w:val="ru-RU"/>
        </w:rPr>
        <w:t>статья Чжан Цзяньвэя «Г-н Дин Вэйлян», опубликованная в газете «Китайская молодежная ежедневная газета» (</w:t>
      </w:r>
      <w:r>
        <w:rPr>
          <w:rFonts w:cs="Times New Roman" w:eastAsiaTheme="minorEastAsia"/>
          <w:sz w:val="24"/>
        </w:rPr>
        <w:t>China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Youth</w:t>
      </w:r>
      <w:r>
        <w:rPr>
          <w:rFonts w:cs="Times New Roman" w:eastAsiaTheme="minorEastAsia"/>
          <w:sz w:val="24"/>
          <w:lang w:val="ru-RU"/>
        </w:rPr>
        <w:t xml:space="preserve"> </w:t>
      </w:r>
      <w:r>
        <w:rPr>
          <w:rFonts w:cs="Times New Roman" w:eastAsiaTheme="minorEastAsia"/>
          <w:sz w:val="24"/>
        </w:rPr>
        <w:t>Daily</w:t>
      </w:r>
      <w:r>
        <w:rPr>
          <w:rFonts w:cs="Times New Roman" w:eastAsiaTheme="minorEastAsia"/>
          <w:sz w:val="24"/>
          <w:lang w:val="ru-RU"/>
        </w:rPr>
        <w:t>).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cs="Times New Roman" w:eastAsiaTheme="minorEastAsia"/>
          <w:sz w:val="24"/>
          <w:lang w:val="ru-RU"/>
        </w:rPr>
        <w:fldChar w:fldCharType="begin"/>
      </w:r>
      <w:r>
        <w:rPr>
          <w:rFonts w:cs="Times New Roman" w:eastAsiaTheme="minorEastAsia"/>
          <w:sz w:val="24"/>
          <w:lang w:val="ru-RU"/>
        </w:rPr>
        <w:instrText xml:space="preserve"> HYPERLINK "https://zqb.cyol.com/content/2005-02/23/content_1035918.htm" </w:instrText>
      </w:r>
      <w:r>
        <w:rPr>
          <w:rFonts w:cs="Times New Roman" w:eastAsiaTheme="minorEastAsia"/>
          <w:sz w:val="24"/>
          <w:lang w:val="ru-RU"/>
        </w:rPr>
        <w:fldChar w:fldCharType="separate"/>
      </w:r>
      <w:r>
        <w:rPr>
          <w:rStyle w:val="11"/>
          <w:rFonts w:cs="Times New Roman" w:eastAsiaTheme="minorEastAsia"/>
          <w:sz w:val="24"/>
          <w:lang w:val="ru-RU"/>
        </w:rPr>
        <w:t>https://zqb.cyol.com/content/2005-02/23/content_1035918.htm</w:t>
      </w:r>
      <w:r>
        <w:rPr>
          <w:rFonts w:cs="Times New Roman" w:eastAsiaTheme="minorEastAsia"/>
          <w:sz w:val="24"/>
          <w:lang w:val="ru-RU"/>
        </w:rPr>
        <w:fldChar w:fldCharType="end"/>
      </w:r>
    </w:p>
    <w:p w14:paraId="28ED3571">
      <w:pPr>
        <w:rPr>
          <w:rFonts w:cs="Times New Roman"/>
          <w:sz w:val="24"/>
          <w:lang w:val="ru-RU"/>
        </w:rPr>
      </w:pP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/>
  </w:footnote>
  <w:footnote w:type="continuationSeparator" w:id="7">
    <w:p/>
  </w:footnote>
  <w:footnote w:id="0">
    <w:p w14:paraId="38D8CABD">
      <w:pPr>
        <w:pStyle w:val="4"/>
        <w:rPr>
          <w:lang w:val="ru-RU"/>
        </w:rPr>
      </w:pPr>
      <w:r>
        <w:rPr>
          <w:rStyle w:val="12"/>
        </w:rPr>
        <w:footnoteRef/>
      </w:r>
      <w:r>
        <w:rPr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[подробнее см. Чэнь Цзяньхуа, «История китайско-русских литературных связей в </w:t>
      </w:r>
      <w:r>
        <w:rPr>
          <w:sz w:val="18"/>
          <w:szCs w:val="18"/>
        </w:rPr>
        <w:t>XX</w:t>
      </w:r>
      <w:r>
        <w:rPr>
          <w:sz w:val="18"/>
          <w:szCs w:val="18"/>
          <w:lang w:val="ru-RU"/>
        </w:rPr>
        <w:t xml:space="preserve"> веке», </w:t>
      </w:r>
      <w:r>
        <w:rPr>
          <w:sz w:val="18"/>
          <w:szCs w:val="18"/>
        </w:rPr>
        <w:t>ISBN</w:t>
      </w:r>
      <w:r>
        <w:rPr>
          <w:sz w:val="18"/>
          <w:szCs w:val="18"/>
          <w:lang w:val="ru-RU"/>
        </w:rPr>
        <w:t xml:space="preserve"> 9787040107241, с. 57]</w:t>
      </w:r>
    </w:p>
    <w:p w14:paraId="6FE677B8">
      <w:pPr>
        <w:pStyle w:val="5"/>
        <w:rPr>
          <w:lang w:val="ru-RU"/>
        </w:rPr>
      </w:pPr>
    </w:p>
  </w:footnote>
  <w:footnote w:id="1">
    <w:p w14:paraId="778BBD7C">
      <w:pPr>
        <w:pStyle w:val="5"/>
        <w:rPr>
          <w:rFonts w:cs="Times New Roman"/>
          <w:lang w:val="ru-RU"/>
        </w:rPr>
      </w:pPr>
      <w:r>
        <w:rPr>
          <w:rStyle w:val="12"/>
        </w:rPr>
        <w:footnoteRef/>
      </w:r>
      <w:r>
        <w:rPr>
          <w:lang w:val="ru-RU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lang w:val="ru-RU"/>
        </w:rPr>
        <w:t>.</w:t>
      </w:r>
      <w:r>
        <w:rPr>
          <w:rFonts w:cs="Times New Roman"/>
        </w:rPr>
        <w:t>A</w:t>
      </w:r>
      <w:r>
        <w:rPr>
          <w:rFonts w:cs="Times New Roman"/>
          <w:lang w:val="ru-RU"/>
        </w:rPr>
        <w:t>.</w:t>
      </w:r>
      <w:r>
        <w:rPr>
          <w:rFonts w:cs="Times New Roman"/>
        </w:rPr>
        <w:t>P</w:t>
      </w:r>
      <w:r>
        <w:rPr>
          <w:rFonts w:cs="Times New Roman"/>
          <w:lang w:val="ru-RU"/>
        </w:rPr>
        <w:t xml:space="preserve">. Мартин и современный китайско-западный культурный обмен, Фу Дэюань, </w:t>
      </w:r>
      <w:r>
        <w:rPr>
          <w:rFonts w:cs="Times New Roman"/>
        </w:rPr>
        <w:t>ISBN</w:t>
      </w:r>
      <w:r>
        <w:rPr>
          <w:rFonts w:cs="Times New Roman"/>
          <w:lang w:val="ru-RU"/>
        </w:rPr>
        <w:t xml:space="preserve"> 13: 9789860394030, 33 страницы.</w:t>
      </w:r>
    </w:p>
  </w:footnote>
  <w:footnote w:id="2">
    <w:p w14:paraId="46F1309D">
      <w:pPr>
        <w:pStyle w:val="5"/>
        <w:rPr>
          <w:rFonts w:cs="Times New Roman"/>
          <w:lang w:val="ru-RU"/>
        </w:rPr>
      </w:pPr>
      <w:r>
        <w:rPr>
          <w:rStyle w:val="12"/>
        </w:rPr>
        <w:footnoteRef/>
      </w:r>
      <w:r>
        <w:rPr>
          <w:lang w:val="ru-RU"/>
        </w:rPr>
        <w:t xml:space="preserve"> </w:t>
      </w:r>
      <w:r>
        <w:rPr>
          <w:rFonts w:cs="Times New Roman"/>
          <w:lang w:val="ru-RU"/>
        </w:rPr>
        <w:t>Согласно статье Чжан Цзяньвэя «Г-н У.А.П. Мартин», опубликованной в газете «Китайская молодежная ежедневная газета», Мартин сформулировал важную стратегию на ранних этапах своей миссионерской деятельности в Китае: чтобы заставить китайцев принять «цивилизацию», их сначала необходимо «вестернизировать». Внедрение «новой науки» посредством «нового образования» было необходимым условием для «вестернизации» китайцев.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176A0"/>
    <w:multiLevelType w:val="singleLevel"/>
    <w:tmpl w:val="DC4176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0E764F"/>
    <w:rsid w:val="001A500B"/>
    <w:rsid w:val="002A474A"/>
    <w:rsid w:val="002D62DF"/>
    <w:rsid w:val="004A161B"/>
    <w:rsid w:val="00524EBE"/>
    <w:rsid w:val="00642501"/>
    <w:rsid w:val="00707B48"/>
    <w:rsid w:val="00752B8F"/>
    <w:rsid w:val="008360E0"/>
    <w:rsid w:val="008960FF"/>
    <w:rsid w:val="00BE1625"/>
    <w:rsid w:val="00FB08AE"/>
    <w:rsid w:val="029236E2"/>
    <w:rsid w:val="220752D5"/>
    <w:rsid w:val="22084D63"/>
    <w:rsid w:val="417C2DAD"/>
    <w:rsid w:val="4F4A531F"/>
    <w:rsid w:val="52EF6B19"/>
    <w:rsid w:val="551847B0"/>
    <w:rsid w:val="72393079"/>
    <w:rsid w:val="740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6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ndnote reference"/>
    <w:basedOn w:val="8"/>
    <w:qFormat/>
    <w:uiPriority w:val="0"/>
    <w:rPr>
      <w:vertAlign w:val="superscript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styleId="12">
    <w:name w:val="footnote reference"/>
    <w:basedOn w:val="8"/>
    <w:qFormat/>
    <w:uiPriority w:val="0"/>
    <w:rPr>
      <w:vertAlign w:val="superscript"/>
    </w:rPr>
  </w:style>
  <w:style w:type="character" w:customStyle="1" w:styleId="13">
    <w:name w:val="Заголовок 1 Знак"/>
    <w:link w:val="2"/>
    <w:qFormat/>
    <w:uiPriority w:val="0"/>
    <w:rPr>
      <w:b/>
      <w:kern w:val="44"/>
      <w:sz w:val="44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val="ru-RU" w:eastAsia="ru-RU"/>
    </w:rPr>
  </w:style>
  <w:style w:type="paragraph" w:styleId="15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5746</Characters>
  <Lines>52</Lines>
  <Paragraphs>14</Paragraphs>
  <TotalTime>3</TotalTime>
  <ScaleCrop>false</ScaleCrop>
  <LinksUpToDate>false</LinksUpToDate>
  <CharactersWithSpaces>6580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2026-03-09T10:55:00Z</dcterms:created>
  <dc:creator>野望。</dc:creator>
  <cp:lastModifiedBy>野望。</cp:lastModifiedBy>
  <dcterms:modified xsi:type="dcterms:W3CDTF">2026-04-18T15:40:41Z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CB2F802D663A46BBBCA1C312247A43FD_11</vt:lpwstr>
  </property>
  <property fmtid="{D5CDD505-2E9C-101B-9397-08002B2CF9AE}" pid="4" name="KSOTemplateDocerSaveRecord">
    <vt:lpwstr>eyJoZGlkIjoiODM3MGJhMGVjYzk2NDdlMWFmNjZkNWFlZWQ1N2FhNjQiLCJ1c2VySWQiOiIxMjIzMzc3NzM3In0=</vt:lpwstr>
  </property>
</Properties>
</file>