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3D74EBB" w:rsidR="00B76EFD" w:rsidRPr="00D949E6" w:rsidRDefault="00D949E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Amors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jois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luecs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temps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»: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особенности</w:t>
      </w:r>
      <w:r w:rsidRPr="00D949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адаптации риторики трубадуров в лирике Петрарки</w:t>
      </w:r>
    </w:p>
    <w:p w14:paraId="00000002" w14:textId="77777777" w:rsidR="00B76EFD" w:rsidRDefault="0000000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Егоров Никита Алексеевич</w:t>
      </w:r>
    </w:p>
    <w:p w14:paraId="3D8C0CF6" w14:textId="6C6FD71D" w:rsidR="00503A75" w:rsidRPr="00D54030" w:rsidRDefault="00000000" w:rsidP="00D5403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 Московского государственного университета имени М.В. Ломоносова, Москва, Россия</w:t>
      </w:r>
    </w:p>
    <w:p w14:paraId="07C1BA3F" w14:textId="199C53BF" w:rsidR="00503A75" w:rsidRPr="00503A75" w:rsidRDefault="00503A75" w:rsidP="00D54030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Поэзия трубадуров заметно повлияла на итальянскую лирику дуэ- и треченто, и Петрарка здесь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один из самых показательных случаев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этого влияния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Особенно продуктивной оказалась рецепция Арнаута Даниэля [Akehurst, Davis: 287], трубадура XII в., которого часто связывают с trobar clus. Существенно, что речь идёт не о совпадениях отдельных тем и мотивов, а о заимствовании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с последующей переработкой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устойчивых риторических механизмов, выработанных в трубадурской традиции [Kirkham, Sherberg: 156]. В числе таких механизмов у Петрарки выделяется перечисление обстоятельств первой встречи с возлюбленной: место, время, конкретные «координаты» события. Это перечисление заметно в сонете XIII (“I’ benedico il loco…”), в известном сонете LXI (“Benedetto sia ‘l giorno…”), а также в ряде других текстов 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“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Canzoniere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”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, где память о первовстрече закрепляется именно через каталог деталей. По всей видимости, этот мотив в его петрарковских вариациях восходит к канцоне Арнаута Даниэля “Amors e jois e luecs e temps”, где уже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первый стих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задаёт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данный мотив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фиксирует опорные элементы ситуации (любовь/радость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место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время). В связи с этим указанные сонеты Петрарки целесообразно рассматривать в прямом сопоставлении с канцоной Арнаута.</w:t>
      </w:r>
    </w:p>
    <w:p w14:paraId="1CA359B6" w14:textId="333D8B57" w:rsidR="00503A75" w:rsidRPr="00503A75" w:rsidRDefault="00503A75" w:rsidP="00D54030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Целью данного доклада является обоснование этой генетической связи и уточнение её характера: какие именно элементы (лексика, порядок членов перечисления, синтаксические модели, ритмика) переходят из текста трубадура в итальянскую лирику, а какие радикально перестраиваются. Параллельно предполагается определить, с одной стороны, место канцоны Арнаута в корпусе трубадурских текстов (насколько она типична для традиции и в чём её специфика), а с другой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место связанных с ней сонетов Петрарки внутри «Canzoniere», где память о первом «взгляде» выстраивает одну из ключевых линий внутренней хронологии и самоописания. В композиционном отношении варьирование мотива у Петрарки существенно отличается от сонета к сонету: различия заметны на нескольких уровнях, от метрики (включая использование или избегание синалеф и элизий) до архитектоники целого текста.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ак, для упомянутого сонета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LXI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именно этот мотив является композиционной основой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, в то время как в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сонете XIII тот же приём встроен иначе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как более локальн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ый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элемент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, который связывает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“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личное</w:t>
      </w:r>
      <w:r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”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на первый взгляд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переживание 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любовного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откровения с 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более широкой </w:t>
      </w:r>
      <w:r w:rsidR="00D54030" w:rsidRP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“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метафизикой</w:t>
      </w:r>
      <w:r w:rsidR="00D54030" w:rsidRP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” 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любви. Интересно, что прочтение этого фрагмента как реминисценции меняет и прочтение всего сонета – </w:t>
      </w:r>
      <w:r w:rsidR="00D54030" w:rsidRP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“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личность</w:t>
      </w:r>
      <w:r w:rsidR="00D54030" w:rsidRP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>”</w:t>
      </w:r>
      <w:r w:rsidR="00D5403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из него исчезает; проделав эту же операцию в других сонетах, можно будет увидеть куда более сложный механизм, лежащий в основе их композиции.</w:t>
      </w:r>
    </w:p>
    <w:p w14:paraId="09CF020A" w14:textId="4AB06718" w:rsidR="00503A75" w:rsidRPr="00CB0038" w:rsidRDefault="00D54030" w:rsidP="00503A75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Таким образом, б</w:t>
      </w:r>
      <w:r w:rsidR="00503A75"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олее широкая цель работы состоит в том, чтобы на этом материале проследить принципы адаптации риторики как системы: как именно </w:t>
      </w:r>
      <w:r w:rsidRPr="00D54030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topoi</w:t>
      </w:r>
      <w:r w:rsidR="00503A75"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(в данном случае </w:t>
      </w:r>
      <w:r w:rsid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>–</w:t>
      </w:r>
      <w:r w:rsidR="00503A75" w:rsidRPr="00503A75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перечисление атрибутов первого свидания/первой встречи) переносится в другую поэтическую среду, какие операции над ним производятся (сокращение или развертывание, смена акцентов, перестановка элементов, смысловые сдвиги) и к каким эффектам это приводит. 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На примере этого конкретного мотива можно проследить общий механизм, затрагивающий и гораздо более объёмное содержание.</w:t>
      </w:r>
    </w:p>
    <w:p w14:paraId="55A57323" w14:textId="77777777" w:rsidR="00D949E6" w:rsidRPr="00D949E6" w:rsidRDefault="00D949E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B" w14:textId="77777777" w:rsidR="00B76EF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0000000C" w14:textId="77777777" w:rsidR="00B76EFD" w:rsidRDefault="00B76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DC886" w14:textId="3F7670F1" w:rsidR="00D87AEB" w:rsidRDefault="00D87AEB" w:rsidP="00C73FC0">
      <w:pPr>
        <w:numPr>
          <w:ilvl w:val="0"/>
          <w:numId w:val="1"/>
        </w:num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7A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Kirkham V., Sherberg M. (eds.). The Cambridge Companion to Petrarch. Cambridge, 2015. </w:t>
      </w:r>
    </w:p>
    <w:p w14:paraId="6B7C259B" w14:textId="447B0B89" w:rsidR="00D24963" w:rsidRPr="00212739" w:rsidRDefault="00C73FC0" w:rsidP="00C73FC0">
      <w:pPr>
        <w:numPr>
          <w:ilvl w:val="0"/>
          <w:numId w:val="1"/>
        </w:num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FC0">
        <w:rPr>
          <w:rFonts w:ascii="Times New Roman" w:eastAsia="Times New Roman" w:hAnsi="Times New Roman" w:cs="Times New Roman"/>
          <w:sz w:val="24"/>
          <w:szCs w:val="24"/>
          <w:lang w:val="en-US"/>
        </w:rPr>
        <w:t>Akehurst F. R. P., Davis J. M.</w:t>
      </w:r>
      <w:r w:rsidR="00996CC5" w:rsidRPr="00996C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996CC5">
        <w:rPr>
          <w:rFonts w:ascii="Times New Roman" w:eastAsia="Times New Roman" w:hAnsi="Times New Roman" w:cs="Times New Roman"/>
          <w:sz w:val="24"/>
          <w:szCs w:val="24"/>
          <w:lang w:val="en-US"/>
        </w:rPr>
        <w:t>eds.).</w:t>
      </w:r>
      <w:r w:rsidRPr="00C73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Handbook of the Troubadours. </w:t>
      </w:r>
      <w:r w:rsidR="00D87AEB">
        <w:rPr>
          <w:rFonts w:ascii="Times New Roman" w:eastAsia="Times New Roman" w:hAnsi="Times New Roman" w:cs="Times New Roman"/>
          <w:sz w:val="24"/>
          <w:szCs w:val="24"/>
          <w:lang w:val="en-US"/>
        </w:rPr>
        <w:t>Berkley</w:t>
      </w:r>
      <w:r w:rsidRPr="00C73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96CC5">
        <w:rPr>
          <w:rFonts w:ascii="Times New Roman" w:eastAsia="Times New Roman" w:hAnsi="Times New Roman" w:cs="Times New Roman"/>
          <w:sz w:val="24"/>
          <w:szCs w:val="24"/>
          <w:lang w:val="en-US"/>
        </w:rPr>
        <w:t>1995</w:t>
      </w:r>
    </w:p>
    <w:sectPr w:rsidR="00D24963" w:rsidRPr="00212739" w:rsidSect="00FD68E2">
      <w:pgSz w:w="11909" w:h="16834"/>
      <w:pgMar w:top="1134" w:right="1361" w:bottom="1134" w:left="136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76CFE"/>
    <w:multiLevelType w:val="multilevel"/>
    <w:tmpl w:val="46E2A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553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FD"/>
    <w:rsid w:val="001E1E7F"/>
    <w:rsid w:val="00212739"/>
    <w:rsid w:val="00503A75"/>
    <w:rsid w:val="005146C3"/>
    <w:rsid w:val="00996CC5"/>
    <w:rsid w:val="00B76EFD"/>
    <w:rsid w:val="00C73FC0"/>
    <w:rsid w:val="00CB0038"/>
    <w:rsid w:val="00D24963"/>
    <w:rsid w:val="00D54030"/>
    <w:rsid w:val="00D87AEB"/>
    <w:rsid w:val="00D949E6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C450"/>
  <w15:docId w15:val="{C134DB28-C093-4A05-9F14-7BA70254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Егоров</cp:lastModifiedBy>
  <cp:revision>3</cp:revision>
  <dcterms:created xsi:type="dcterms:W3CDTF">2026-03-02T22:39:00Z</dcterms:created>
  <dcterms:modified xsi:type="dcterms:W3CDTF">2026-03-02T23:01:00Z</dcterms:modified>
</cp:coreProperties>
</file>