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240" w:after="24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«Смерть автора» в постцифровую эпоху: ИИ как инструмент, соавтор и паратекстуальная фигура в сценарном письме</w:t>
      </w:r>
    </w:p>
    <w:p>
      <w:pPr>
        <w:pStyle w:val="Normal1"/>
        <w:spacing w:lineRule="auto" w:line="240" w:before="240" w:after="240"/>
        <w:ind w:firstLine="709"/>
        <w:jc w:val="center"/>
        <w:rPr>
          <w:rFonts w:ascii="Times New Roman" w:hAnsi="Times New Roman"/>
          <w:b w:val="false"/>
          <w:bCs w:val="false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</w:rPr>
        <w:t>Харитонова Екатерина Алексеевна</w:t>
      </w:r>
    </w:p>
    <w:p>
      <w:pPr>
        <w:pStyle w:val="Normal1"/>
        <w:spacing w:lineRule="auto" w:line="240" w:before="240" w:after="240"/>
        <w:ind w:firstLine="709"/>
        <w:jc w:val="center"/>
        <w:rPr>
          <w:rFonts w:ascii="Times New Roman" w:hAnsi="Times New Roman"/>
          <w:b w:val="false"/>
          <w:bCs w:val="false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</w:rPr>
        <w:t>Магистрант Московск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  <w:lang w:val="ru-RU"/>
        </w:rPr>
        <w:t>ого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4"/>
          <w:szCs w:val="24"/>
        </w:rPr>
        <w:t xml:space="preserve"> государственного университета имени М.В. Ломоносова, Москва, Россия</w:t>
      </w:r>
    </w:p>
    <w:p>
      <w:pPr>
        <w:pStyle w:val="Normal1"/>
        <w:spacing w:lineRule="auto" w:lin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Распространение генеративных моделей в сценарной практике актуализировало вопрос о статусе ИИ в производстве текста. Цель данного исследования — разграничить режимы авторства, возникающие при работе со сценариями, частично или полностью сгенерированными системой. В связи с этим ставятся следующие вопросы: может ли ИИ рассматриваться как соавтор; чем распределённое авторство отличается от коллективного; возможна ли юридическая атрибуция «соавтора-ИИ»; почему ИИ появляется в титрах как сценарист и какова функция такого титра — правовая, риторическая или паратекстуальная. </w:t>
      </w:r>
    </w:p>
    <w:p>
      <w:pPr>
        <w:pStyle w:val="Normal1"/>
        <w:spacing w:lineRule="auto" w:lin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Методологически работа опирается на цифровую нарратологию и медиатеорию авторства. В классических работах М.-Л. Райан цифровой нарратив описывается как вариативная система событий, а не как жестко фиксированная линейная последовательность [Ryan]. Дж. Мюррей определяет авторство в электронных медиа как процедурное: автор конструирует не готовый текст, а условия его порождения [Murray]. Для анализа LLM-сценаристики эта модель требует уточнения: здесь человек взаимодействует не с прозрачным набором правил, а с вероятностным генератором, управляя результатом через серию запросов, отбор версий, сокращение и редактуру. Следовательно, в подобной практике ослабляется прямой контроль над формулировкой каждой реплики, но сохраняется контроль над композицией, селекцией и финальной организацией материала.</w:t>
      </w:r>
    </w:p>
    <w:p>
      <w:pPr>
        <w:pStyle w:val="Normal1"/>
        <w:spacing w:lineRule="auto" w:lin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 этой основе в работе различаются коллективное и распределенное авторство. Коллективное авторство характеризует множественность человеческих вкладов в рамках институционального разделения труда. Распределённое авторство обозначает такую конфигурацию производства, при которой формирование итогового текста определяется не только человеческими решениями, но и технической инфраструктурой: используемой генеративной языковой моделью, интерфейсом взаимодействия, платформенными ограничениями, режимами модерации и процедурами отбора и редактирования. Тем самым ИИ не тождествен соавтору: он может быть включен в авторскую конфигурацию как несубъектный, но функционально значимый элемент.</w:t>
      </w:r>
    </w:p>
    <w:p>
      <w:pPr>
        <w:pStyle w:val="Normal1"/>
        <w:spacing w:lineRule="auto" w:lin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рамках настоящего исследования фильмы, созданные по ИИ-сценариям, рассматриваются как особый случай адаптации: генеративная система не создаёт нарратив с нуля, а воспроизводит и перерабатывает устойчивые жанровые структуры, усвоенные в процессе обучения. В этом смысле ИИ-сценарий может быть описан как перенос и преобразование жанрового «кода» в новый медиальный и производственный контекст. Для описания этого перехода особенно продуктивна предложенная Р. Винклером техническая метафорика адаптации, позволяющая рассматривать генеративный текст как переработку и перенос жанрового «кода» [Winckler 2021]. В одном из докладов, посвящённых кейсу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Nothing, Forever</w:t>
      </w:r>
      <w:r>
        <w:rPr>
          <w:rFonts w:eastAsia="Times New Roman" w:cs="Times New Roman" w:ascii="Times New Roman" w:hAnsi="Times New Roman"/>
          <w:sz w:val="24"/>
          <w:szCs w:val="24"/>
        </w:rPr>
        <w:t>, Р. Винклер показывает, что генеративный ситком — то есть система, непрерывно порождающая новые сцены, — сохраняет узнаваемую жанровую оболочку, но редуцирует её до абстрактного и повторяемого шаблона [Winckler 2026]. Данный тезис позволяет описать ИИ-сценарий не как автономный акт творчества, а как результат процедурного переноса и трансформации жанровых конвенций. Несмотря на различие между генеративными и разово сгенерированными формами, в обоих случаях сохраняется общий принцип процедурной организации повествовательного материала.</w:t>
      </w:r>
    </w:p>
    <w:p>
      <w:pPr>
        <w:pStyle w:val="Normal1"/>
        <w:spacing w:lineRule="auto" w:lin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Анализ кейсов «Sunspring» </w:t>
      </w:r>
      <w:r>
        <w:rPr>
          <w:rFonts w:eastAsia="Times New Roman" w:cs="Times New Roman" w:ascii="Times New Roman" w:hAnsi="Times New Roman"/>
          <w:color w:val="0D0D0D"/>
          <w:sz w:val="24"/>
          <w:szCs w:val="24"/>
          <w:highlight w:val="white"/>
        </w:rPr>
        <w:t>(реж. О. Шарп, 2016)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и «The Last Screenwriter» </w:t>
      </w:r>
      <w:r>
        <w:rPr>
          <w:rFonts w:eastAsia="Times New Roman" w:cs="Times New Roman" w:ascii="Times New Roman" w:hAnsi="Times New Roman"/>
          <w:color w:val="0D0D0D"/>
          <w:sz w:val="24"/>
          <w:szCs w:val="24"/>
          <w:highlight w:val="white"/>
        </w:rPr>
        <w:t>(реж. П. Луизи, 2024)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показывает, что в них существенен не сам факт машинной генерации, а режим предъявления текста. Когда ИИ указывается в титрах как сценарист, титр функционирует не как юридическое признание авторства, а как паратекстуальная инструкция к восприятию: зрителю предлагается интерпретировать повторы, логические разрывы и семантические сбои как след генеративной процедуры. Следовательно, речь идёт не о буквальном «соавторстве машины», а о постановочном конструировании фигуры автора, которая заранее перенастраивает чтение текста и легитимирует наличие в нём глитчей и ошибок как частей художественного эффекта.</w:t>
      </w:r>
    </w:p>
    <w:p>
      <w:pPr>
        <w:pStyle w:val="Normal1"/>
        <w:spacing w:lineRule="auto" w:lin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Юридический материал подтверждает данное разграничение. В российском праве автором результата интеллектуальной деятельности признается гражданин, творческим трудом которого создан такой результат; соавторство также закрепляется только за двумя и более гражданами. Аналогичным образом в американской административной практике охрана связывается с человеческим вкладом: при наличии ИИ-материала оценивается именно объём и характер творческой работы человека, тогда как «самостоятельный» вклад системы не образует авторства. Из этого следует, что ИИ не может быть оформлен как автор или соавтор в строгом правовом смысле. Его появление в титрах не изменяет юридического режима произведения, но создает особый режим рецепции.</w:t>
      </w:r>
    </w:p>
    <w:p>
      <w:pPr>
        <w:pStyle w:val="Normal1"/>
        <w:spacing w:lineRule="auto" w:lin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Таким образом, исследование приводит к следующему выводу: в современном сценарном письме ИИ корректно описывать не как соавтора, а как элемент распределенного авторства. Композиционная, селективная и смысловая ответственность остаётся за человеком; машинный вклад включается в произведение через процедуры генерации, отбора и презентации. Поэтому титровое «авторство ИИ» следует понимать прежде всего как паратекстуальный и риторический жест, а не как основание для пересмотра юридического понятия авторства.</w:t>
      </w:r>
    </w:p>
    <w:p>
      <w:pPr>
        <w:pStyle w:val="Normal1"/>
        <w:spacing w:lineRule="auto" w:line="240" w:before="240" w:after="24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Литература</w:t>
      </w:r>
    </w:p>
    <w:p>
      <w:pPr>
        <w:pStyle w:val="Normal1"/>
        <w:spacing w:lineRule="auto" w:line="240" w:before="240" w:after="240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Murray J.H.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Hamlet on the Holodeck</w:t>
      </w:r>
      <w:r>
        <w:rPr>
          <w:rFonts w:eastAsia="Times New Roman" w:cs="Times New Roman" w:ascii="Times New Roman" w:hAnsi="Times New Roman"/>
          <w:sz w:val="24"/>
          <w:szCs w:val="24"/>
        </w:rPr>
        <w:t>. New York, 1997.</w:t>
      </w:r>
    </w:p>
    <w:p>
      <w:pPr>
        <w:pStyle w:val="Normal1"/>
        <w:spacing w:lineRule="auto" w:line="240" w:before="240" w:after="240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Ryan M.-L.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Narrative as Virtual Reality</w:t>
      </w:r>
      <w:r>
        <w:rPr>
          <w:rFonts w:eastAsia="Times New Roman" w:cs="Times New Roman" w:ascii="Times New Roman" w:hAnsi="Times New Roman"/>
          <w:sz w:val="24"/>
          <w:szCs w:val="24"/>
        </w:rPr>
        <w:t>. Baltimore, 2001.</w:t>
      </w:r>
    </w:p>
    <w:p>
      <w:pPr>
        <w:pStyle w:val="Normal1"/>
        <w:spacing w:lineRule="auto" w:line="240" w:before="240" w:after="240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Winckler R.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Adaptation Studies in the Age of AI: How Do We Handle Nothing, Forever?</w:t>
      </w:r>
      <w:r>
        <w:rPr>
          <w:rFonts w:eastAsia="Times New Roman" w:cs="Times New Roman" w:ascii="Times New Roman" w:hAnsi="Times New Roman"/>
          <w:sz w:val="24"/>
          <w:szCs w:val="24"/>
        </w:rPr>
        <w:t>:</w:t>
      </w:r>
      <w:hyperlink r:id="rId2">
        <w:r>
          <w:rPr>
            <w:rStyle w:val="ListLabel1"/>
            <w:rFonts w:eastAsia="Times New Roman" w:cs="Times New Roman" w:ascii="Times New Roman" w:hAnsi="Times New Roman"/>
            <w:sz w:val="24"/>
            <w:szCs w:val="24"/>
          </w:rPr>
          <w:t xml:space="preserve"> </w:t>
        </w:r>
      </w:hyperlink>
      <w:hyperlink r:id="rId3">
        <w:r>
          <w:rPr>
            <w:rStyle w:val="Hyperlink"/>
            <w:rFonts w:eastAsia="Times New Roman" w:cs="Times New Roman" w:ascii="Times New Roman" w:hAnsi="Times New Roman"/>
            <w:color w:val="1155CC"/>
            <w:sz w:val="24"/>
            <w:szCs w:val="24"/>
            <w:u w:val="single"/>
          </w:rPr>
          <w:t>https://scholars.cityu.edu.hk/en/publications/adaptation-studies-in-the-age-of-ai-how-do-we-handle-inothing-for/</w:t>
        </w:r>
      </w:hyperlink>
    </w:p>
    <w:p>
      <w:pPr>
        <w:pStyle w:val="Normal1"/>
        <w:spacing w:lineRule="auto" w:line="240" w:before="240" w:after="240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Winckler R.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Algorithmic Collaborators: Theorizing AI Adaptation</w:t>
      </w:r>
      <w:r>
        <w:rPr>
          <w:rFonts w:eastAsia="Times New Roman" w:cs="Times New Roman" w:ascii="Times New Roman" w:hAnsi="Times New Roman"/>
          <w:sz w:val="24"/>
          <w:szCs w:val="24"/>
        </w:rPr>
        <w:t>. Доклад на совместной конференции Literature/Film Association (LFA) и Association for Adaptation Studies (AAS),</w:t>
      </w: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2026.</w:t>
      </w:r>
    </w:p>
    <w:p>
      <w:pPr>
        <w:pStyle w:val="Normal1"/>
        <w:spacing w:lineRule="auto" w:line="240" w:before="240" w:after="240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Winckler R. Hacking Adaptation //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Adaptation</w:t>
      </w:r>
      <w:r>
        <w:rPr>
          <w:rFonts w:eastAsia="Times New Roman" w:cs="Times New Roman" w:ascii="Times New Roman" w:hAnsi="Times New Roman"/>
          <w:sz w:val="24"/>
          <w:szCs w:val="24"/>
        </w:rPr>
        <w:t>. 2021. Vol. 14. No. 1. P. 1-16.</w:t>
      </w:r>
    </w:p>
    <w:sectPr>
      <w:type w:val="nextPage"/>
      <w:pgSz w:w="11906" w:h="16838"/>
      <w:pgMar w:left="1361" w:right="1365" w:gutter="0" w:header="0" w:top="1134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cc"/>
    <w:family w:val="roman"/>
    <w:pitch w:val="variable"/>
  </w:font>
  <w:font w:name="OpenSymbol">
    <w:altName w:val="Arial Unicode MS"/>
    <w:charset w:val="cc"/>
    <w:family w:val="roman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cc"/>
    <w:family w:val="roman"/>
    <w:pitch w:val="variable"/>
    <w:embedRegular r:id="rId16" w:fontKey="{10014A78-CABC-4EF0-12AC-5CD89AEFDE10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5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character" w:styleId="Style8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9">
    <w:name w:val="Символ концевой сноски"/>
    <w:qFormat/>
    <w:rPr/>
  </w:style>
  <w:style w:type="character" w:styleId="EndnoteReference">
    <w:name w:val="Endnote Reference"/>
    <w:rPr>
      <w:vertAlign w:val="superscript"/>
    </w:rPr>
  </w:style>
  <w:style w:type="character" w:styleId="Style10">
    <w:name w:val="Символ нумерации"/>
    <w:qFormat/>
    <w:rPr/>
  </w:style>
  <w:style w:type="character" w:styleId="Style11">
    <w:name w:val="Маркеры"/>
    <w:qFormat/>
    <w:rPr>
      <w:rFonts w:ascii="OpenSymbol" w:hAnsi="OpenSymbol" w:eastAsia="OpenSymbol" w:cs="OpenSymbol"/>
    </w:rPr>
  </w:style>
  <w:style w:type="paragraph" w:styleId="Style1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FootnoteText">
    <w:name w:val="Footnote Text"/>
    <w:basedOn w:val="Normal"/>
    <w:pPr>
      <w:suppressLineNumbers/>
      <w:ind w:hanging="340" w:left="340"/>
    </w:pPr>
    <w:rPr>
      <w:sz w:val="20"/>
      <w:szCs w:val="2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cholars.cityu.edu.hk/en/publications/adaptation-studies-in-the-age-of-ai-how-do-we-handle-inothing-for/?utm_source=chatgpt.com" TargetMode="External"/><Relationship Id="rId3" Type="http://schemas.openxmlformats.org/officeDocument/2006/relationships/hyperlink" Target="https://scholars.cityu.edu.hk/en/publications/adaptation-studies-in-the-age-of-ai-how-do-we-handle-inothing-for/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</TotalTime>
  <Application>LibreOffice/7.6.7.2$Windows_X86_64 LibreOffice_project/dd47e4b30cb7dab30588d6c79c651f218165e3c5</Application>
  <AppVersion>15.0000</AppVersion>
  <Pages>2</Pages>
  <Words>731</Words>
  <Characters>5283</Characters>
  <CharactersWithSpaces>6003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2026-03-01T20:03:53Z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