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D3D6" w14:textId="39E8A9B9" w:rsidR="008F72CE" w:rsidRPr="006567EA" w:rsidRDefault="006567EA" w:rsidP="004E2FE2">
      <w:pPr>
        <w:spacing w:after="0" w:line="240" w:lineRule="auto"/>
        <w:ind w:firstLine="397"/>
        <w:jc w:val="center"/>
        <w:rPr>
          <w:b/>
          <w:bCs/>
          <w:sz w:val="24"/>
          <w:szCs w:val="24"/>
        </w:rPr>
      </w:pPr>
      <w:r w:rsidRPr="006567EA">
        <w:rPr>
          <w:b/>
          <w:bCs/>
          <w:sz w:val="24"/>
          <w:szCs w:val="24"/>
        </w:rPr>
        <w:t>Моделирование зависимости точности различных мер определения авторства от размера корпуса</w:t>
      </w:r>
    </w:p>
    <w:p w14:paraId="53C4A25F" w14:textId="3DC5AFB7" w:rsidR="006567EA" w:rsidRPr="006567EA" w:rsidRDefault="006567EA" w:rsidP="004E2FE2">
      <w:pPr>
        <w:spacing w:after="0" w:line="240" w:lineRule="auto"/>
        <w:ind w:firstLine="397"/>
        <w:jc w:val="center"/>
        <w:rPr>
          <w:b/>
          <w:bCs/>
          <w:i/>
          <w:iCs/>
          <w:sz w:val="24"/>
          <w:szCs w:val="24"/>
        </w:rPr>
      </w:pPr>
      <w:r w:rsidRPr="006567EA">
        <w:rPr>
          <w:b/>
          <w:bCs/>
          <w:i/>
          <w:iCs/>
          <w:sz w:val="24"/>
          <w:szCs w:val="24"/>
        </w:rPr>
        <w:t>Зоркальцев А.В.</w:t>
      </w:r>
    </w:p>
    <w:p w14:paraId="7534BFB8" w14:textId="40D1982A" w:rsidR="006567EA" w:rsidRPr="006567EA" w:rsidRDefault="006567EA" w:rsidP="004E2FE2">
      <w:pPr>
        <w:spacing w:after="0" w:line="240" w:lineRule="auto"/>
        <w:ind w:firstLine="397"/>
        <w:jc w:val="center"/>
        <w:rPr>
          <w:i/>
          <w:iCs/>
          <w:sz w:val="24"/>
          <w:szCs w:val="24"/>
        </w:rPr>
      </w:pPr>
      <w:r w:rsidRPr="006567EA">
        <w:rPr>
          <w:i/>
          <w:iCs/>
          <w:sz w:val="24"/>
          <w:szCs w:val="24"/>
        </w:rPr>
        <w:t>Студент</w:t>
      </w:r>
    </w:p>
    <w:p w14:paraId="50686F7B" w14:textId="6B44BF35" w:rsidR="006567EA" w:rsidRPr="006567EA" w:rsidRDefault="006567EA" w:rsidP="004E2FE2">
      <w:pPr>
        <w:spacing w:after="0" w:line="240" w:lineRule="auto"/>
        <w:ind w:firstLine="397"/>
        <w:jc w:val="center"/>
        <w:rPr>
          <w:sz w:val="24"/>
          <w:szCs w:val="24"/>
        </w:rPr>
      </w:pPr>
      <w:r w:rsidRPr="006567EA">
        <w:rPr>
          <w:sz w:val="24"/>
          <w:szCs w:val="24"/>
        </w:rPr>
        <w:t>Новосибирский национальный исследовательский государственный университет</w:t>
      </w:r>
    </w:p>
    <w:p w14:paraId="5AD14439" w14:textId="444C4079" w:rsidR="006567EA" w:rsidRDefault="00000000" w:rsidP="004E2FE2">
      <w:pPr>
        <w:spacing w:after="0" w:line="240" w:lineRule="auto"/>
        <w:ind w:firstLine="397"/>
        <w:jc w:val="center"/>
        <w:rPr>
          <w:sz w:val="24"/>
          <w:szCs w:val="24"/>
        </w:rPr>
      </w:pPr>
      <w:hyperlink r:id="rId5" w:history="1">
        <w:r w:rsidR="006567EA" w:rsidRPr="006567EA">
          <w:rPr>
            <w:rStyle w:val="ac"/>
            <w:sz w:val="24"/>
            <w:szCs w:val="24"/>
            <w:lang w:val="en-US"/>
          </w:rPr>
          <w:t>avazork</w:t>
        </w:r>
        <w:r w:rsidR="006567EA" w:rsidRPr="00BB76DD">
          <w:rPr>
            <w:rStyle w:val="ac"/>
            <w:sz w:val="24"/>
            <w:szCs w:val="24"/>
          </w:rPr>
          <w:t>@</w:t>
        </w:r>
        <w:r w:rsidR="006567EA" w:rsidRPr="006567EA">
          <w:rPr>
            <w:rStyle w:val="ac"/>
            <w:sz w:val="24"/>
            <w:szCs w:val="24"/>
            <w:lang w:val="en-US"/>
          </w:rPr>
          <w:t>mail</w:t>
        </w:r>
        <w:r w:rsidR="006567EA" w:rsidRPr="00BB76DD">
          <w:rPr>
            <w:rStyle w:val="ac"/>
            <w:sz w:val="24"/>
            <w:szCs w:val="24"/>
          </w:rPr>
          <w:t>.</w:t>
        </w:r>
        <w:r w:rsidR="006567EA" w:rsidRPr="006567EA">
          <w:rPr>
            <w:rStyle w:val="ac"/>
            <w:sz w:val="24"/>
            <w:szCs w:val="24"/>
            <w:lang w:val="en-US"/>
          </w:rPr>
          <w:t>ru</w:t>
        </w:r>
      </w:hyperlink>
    </w:p>
    <w:p w14:paraId="3B1A43C8" w14:textId="77777777" w:rsidR="006567EA" w:rsidRDefault="006567EA" w:rsidP="004E2FE2">
      <w:pPr>
        <w:spacing w:after="0" w:line="240" w:lineRule="auto"/>
        <w:ind w:firstLine="397"/>
        <w:jc w:val="center"/>
        <w:rPr>
          <w:sz w:val="24"/>
          <w:szCs w:val="24"/>
        </w:rPr>
      </w:pPr>
    </w:p>
    <w:p w14:paraId="1A381E1C" w14:textId="4FD78635" w:rsidR="006567EA" w:rsidRDefault="006567EA" w:rsidP="004E2FE2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задаче определения авторства часто используется статистический подход. Под ним подразумевается сопоставление </w:t>
      </w:r>
      <w:r w:rsidR="003806E8">
        <w:rPr>
          <w:sz w:val="24"/>
          <w:szCs w:val="24"/>
        </w:rPr>
        <w:t xml:space="preserve">относительных </w:t>
      </w:r>
      <w:r>
        <w:rPr>
          <w:sz w:val="24"/>
          <w:szCs w:val="24"/>
        </w:rPr>
        <w:t xml:space="preserve">частот языковых </w:t>
      </w:r>
      <w:r w:rsidR="008F3C32">
        <w:rPr>
          <w:sz w:val="24"/>
          <w:szCs w:val="24"/>
        </w:rPr>
        <w:t>элементов</w:t>
      </w:r>
      <w:r>
        <w:rPr>
          <w:sz w:val="24"/>
          <w:szCs w:val="24"/>
        </w:rPr>
        <w:t>.</w:t>
      </w:r>
      <w:r w:rsidR="008F3C32">
        <w:rPr>
          <w:sz w:val="24"/>
          <w:szCs w:val="24"/>
        </w:rPr>
        <w:t xml:space="preserve"> В качестве таких элементов могут выступать буквы, слова (как словоформы, так и слова в начальной форме), в том числе знаменательные и служебные, и любые другие регулярно воспроизводимые элементы, для которых возможно рассчитать</w:t>
      </w:r>
      <w:r w:rsidR="003806E8">
        <w:rPr>
          <w:sz w:val="24"/>
          <w:szCs w:val="24"/>
        </w:rPr>
        <w:t xml:space="preserve"> относительную</w:t>
      </w:r>
      <w:r w:rsidR="008F3C32">
        <w:rPr>
          <w:sz w:val="24"/>
          <w:szCs w:val="24"/>
        </w:rPr>
        <w:t xml:space="preserve"> частоту их употребления</w:t>
      </w:r>
      <w:r w:rsidR="006460B3">
        <w:rPr>
          <w:sz w:val="24"/>
          <w:szCs w:val="24"/>
        </w:rPr>
        <w:t xml:space="preserve">, например, риторические отношения </w:t>
      </w:r>
      <w:r w:rsidR="006460B3" w:rsidRPr="006460B3">
        <w:rPr>
          <w:sz w:val="24"/>
          <w:szCs w:val="24"/>
        </w:rPr>
        <w:t>[</w:t>
      </w:r>
      <w:r w:rsidR="006460B3">
        <w:rPr>
          <w:sz w:val="24"/>
          <w:szCs w:val="24"/>
        </w:rPr>
        <w:t>1</w:t>
      </w:r>
      <w:r w:rsidR="006460B3" w:rsidRPr="006460B3">
        <w:rPr>
          <w:sz w:val="24"/>
          <w:szCs w:val="24"/>
        </w:rPr>
        <w:t>].</w:t>
      </w:r>
    </w:p>
    <w:p w14:paraId="6CAF46F8" w14:textId="77777777" w:rsidR="006460B3" w:rsidRDefault="006460B3" w:rsidP="004E2FE2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теории риторических структур в контексте определения авторства достаточно ново. Риторические отношения, в отличие, например, от букв, являются осмысленными элементами: они отражают связи между ситуациями в составе текста. Это может оказаться полезным в случае, когда исследуются тексты небольших размеров: тогда смысловые закономерности могут оказаться более значимыми, чем формальные. </w:t>
      </w:r>
    </w:p>
    <w:p w14:paraId="67AB89DC" w14:textId="77777777" w:rsidR="006460B3" w:rsidRDefault="006460B3" w:rsidP="004E2FE2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Цель исследования – сопоставить эффективность разных мер определения авторства. Для достижения цели поставлены следующие задачи:</w:t>
      </w:r>
    </w:p>
    <w:p w14:paraId="26ECD31E" w14:textId="6AB5B919" w:rsidR="006460B3" w:rsidRPr="004E2FE2" w:rsidRDefault="006460B3" w:rsidP="004E2FE2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выбрать материал </w:t>
      </w:r>
      <w:r w:rsidR="004E2FE2">
        <w:rPr>
          <w:sz w:val="24"/>
          <w:szCs w:val="24"/>
        </w:rPr>
        <w:t>и меры определения авторства для исследования</w:t>
      </w:r>
      <w:r w:rsidR="004E2FE2" w:rsidRPr="004E2FE2">
        <w:rPr>
          <w:sz w:val="24"/>
          <w:szCs w:val="24"/>
        </w:rPr>
        <w:t>;</w:t>
      </w:r>
    </w:p>
    <w:p w14:paraId="5463AE7C" w14:textId="5F74A99A" w:rsidR="004E2FE2" w:rsidRPr="004E2FE2" w:rsidRDefault="004E2FE2" w:rsidP="004E2FE2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сопоставить точность этих мер для разных языковых элементов</w:t>
      </w:r>
      <w:r w:rsidRPr="004E2FE2">
        <w:rPr>
          <w:sz w:val="24"/>
          <w:szCs w:val="24"/>
        </w:rPr>
        <w:t>;</w:t>
      </w:r>
    </w:p>
    <w:p w14:paraId="21062BA2" w14:textId="2B0B7C25" w:rsidR="004E2FE2" w:rsidRDefault="004E2FE2" w:rsidP="004E2FE2">
      <w:pPr>
        <w:spacing w:after="0" w:line="240" w:lineRule="auto"/>
        <w:ind w:firstLine="397"/>
        <w:jc w:val="both"/>
        <w:rPr>
          <w:sz w:val="24"/>
          <w:szCs w:val="24"/>
        </w:rPr>
      </w:pPr>
      <w:r w:rsidRPr="004E2FE2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исследовать зависимость точности этих мер от размера корпуса и текста.</w:t>
      </w:r>
    </w:p>
    <w:p w14:paraId="5A66365A" w14:textId="791E1891" w:rsidR="004E2FE2" w:rsidRDefault="004E2FE2" w:rsidP="004E2FE2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качестве материала выбран корпус риторических структур русскоязычный песенной поэзии </w:t>
      </w:r>
      <w:r w:rsidRPr="004E2FE2">
        <w:rPr>
          <w:sz w:val="24"/>
          <w:szCs w:val="24"/>
        </w:rPr>
        <w:t>[</w:t>
      </w:r>
      <w:r>
        <w:rPr>
          <w:sz w:val="24"/>
          <w:szCs w:val="24"/>
        </w:rPr>
        <w:t>2</w:t>
      </w:r>
      <w:r w:rsidRPr="004E2FE2">
        <w:rPr>
          <w:sz w:val="24"/>
          <w:szCs w:val="24"/>
        </w:rPr>
        <w:t>]</w:t>
      </w:r>
      <w:r>
        <w:rPr>
          <w:sz w:val="24"/>
          <w:szCs w:val="24"/>
        </w:rPr>
        <w:t>, дополненный англоязычными текстами. Песенная поэзия представляет интерес как относительно малоисследованная текстовая форма. Кроме того, определение авторства текста большого размера исследовано достаточно хорошо</w:t>
      </w:r>
      <w:r w:rsidRPr="004E2FE2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более того, для некоторых мер </w:t>
      </w:r>
      <w:r w:rsidRPr="004E2FE2">
        <w:rPr>
          <w:sz w:val="24"/>
          <w:szCs w:val="24"/>
        </w:rPr>
        <w:t xml:space="preserve">[3] </w:t>
      </w:r>
      <w:r>
        <w:rPr>
          <w:sz w:val="24"/>
          <w:szCs w:val="24"/>
        </w:rPr>
        <w:t xml:space="preserve">выдвигаются требования: размер как корпуса, так и текста должен быть не менее 100 000 символов. Определение авторства небольших текстов исследовано гораздо хуже. В имеющемся корпусе представлено 80 текстов, написанных 8 авторами (4 русскоязычных, 4 англоязычных), причём средняя длина каждого текста меньше 1000 символов. Предполагается, что решить такую задачу поможет использование риторических структур. Применение риторической разметки к классическим поэтическим текстам исследовано в </w:t>
      </w:r>
      <w:r w:rsidRPr="004E2FE2">
        <w:rPr>
          <w:sz w:val="24"/>
          <w:szCs w:val="24"/>
        </w:rPr>
        <w:t xml:space="preserve">[4]; </w:t>
      </w:r>
      <w:r>
        <w:rPr>
          <w:sz w:val="24"/>
          <w:szCs w:val="24"/>
        </w:rPr>
        <w:t>отмечено, что набор и частоты используемых риторических отношений являются отличительным признаком стиля.</w:t>
      </w:r>
    </w:p>
    <w:p w14:paraId="3B5002CA" w14:textId="77777777" w:rsidR="003806E8" w:rsidRDefault="003806E8" w:rsidP="003806E8">
      <w:pPr>
        <w:spacing w:after="0" w:line="240" w:lineRule="auto"/>
        <w:ind w:firstLine="397"/>
        <w:jc w:val="both"/>
        <w:rPr>
          <w:rFonts w:eastAsiaTheme="minorEastAsia"/>
          <w:iCs/>
          <w:sz w:val="24"/>
          <w:szCs w:val="24"/>
        </w:rPr>
      </w:pPr>
      <w:r>
        <w:rPr>
          <w:sz w:val="24"/>
          <w:szCs w:val="24"/>
        </w:rPr>
        <w:t xml:space="preserve">В качестве мер для определения авторства используются статистика Хмелёва </w:t>
      </w:r>
      <w:r w:rsidRPr="003806E8">
        <w:rPr>
          <w:sz w:val="24"/>
          <w:szCs w:val="24"/>
        </w:rPr>
        <w:t xml:space="preserve">[3], </w:t>
      </w:r>
      <w:r>
        <w:rPr>
          <w:sz w:val="24"/>
          <w:szCs w:val="24"/>
        </w:rPr>
        <w:t xml:space="preserve">расстояние Кульбака-Лейблера </w:t>
      </w:r>
      <w:r w:rsidRPr="003806E8">
        <w:rPr>
          <w:sz w:val="24"/>
          <w:szCs w:val="24"/>
        </w:rPr>
        <w:t xml:space="preserve">[5], </w:t>
      </w:r>
      <w:r>
        <w:rPr>
          <w:sz w:val="24"/>
          <w:szCs w:val="24"/>
        </w:rPr>
        <w:t xml:space="preserve">а также несколько новых мер: </w:t>
      </w:r>
      <w:r w:rsidRPr="003806E8">
        <w:rPr>
          <w:rFonts w:eastAsiaTheme="minorEastAsia"/>
          <w:iCs/>
          <w:sz w:val="24"/>
          <w:szCs w:val="24"/>
        </w:rPr>
        <w:t xml:space="preserve">симметричное расстояние (симметричная модификация расстояния Кульбака-Лейблера, вычисляется по формуле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func>
              </m:e>
            </m:nary>
          </m:e>
        </m:d>
      </m:oMath>
      <w:r w:rsidRPr="003806E8">
        <w:rPr>
          <w:rFonts w:eastAsiaTheme="minorEastAsia"/>
          <w:iCs/>
          <w:sz w:val="24"/>
          <w:szCs w:val="24"/>
        </w:rPr>
        <w:t xml:space="preserve">, где </w:t>
      </w:r>
      <w:r w:rsidRPr="003806E8">
        <w:rPr>
          <w:rFonts w:eastAsiaTheme="minorEastAsia"/>
          <w:iCs/>
          <w:sz w:val="24"/>
          <w:szCs w:val="24"/>
          <w:lang w:val="en-US"/>
        </w:rPr>
        <w:t>p</w:t>
      </w:r>
      <w:r w:rsidRPr="003806E8">
        <w:rPr>
          <w:rFonts w:eastAsiaTheme="minorEastAsia"/>
          <w:iCs/>
          <w:sz w:val="24"/>
          <w:szCs w:val="24"/>
          <w:vertAlign w:val="subscript"/>
          <w:lang w:val="en-US"/>
        </w:rPr>
        <w:t>i</w:t>
      </w:r>
      <w:r w:rsidRPr="003806E8">
        <w:rPr>
          <w:rFonts w:eastAsiaTheme="minorEastAsia"/>
          <w:iCs/>
          <w:sz w:val="24"/>
          <w:szCs w:val="24"/>
        </w:rPr>
        <w:t xml:space="preserve"> – частоты языковых единиц в тексте, </w:t>
      </w:r>
      <w:r w:rsidRPr="003806E8">
        <w:rPr>
          <w:rFonts w:eastAsiaTheme="minorEastAsia"/>
          <w:iCs/>
          <w:sz w:val="24"/>
          <w:szCs w:val="24"/>
          <w:lang w:val="en-US"/>
        </w:rPr>
        <w:t>q</w:t>
      </w:r>
      <w:r w:rsidRPr="003806E8">
        <w:rPr>
          <w:rFonts w:eastAsiaTheme="minorEastAsia"/>
          <w:iCs/>
          <w:sz w:val="24"/>
          <w:szCs w:val="24"/>
          <w:vertAlign w:val="subscript"/>
          <w:lang w:val="en-US"/>
        </w:rPr>
        <w:t>i</w:t>
      </w:r>
      <w:r w:rsidRPr="003806E8">
        <w:rPr>
          <w:rFonts w:eastAsiaTheme="minorEastAsia"/>
          <w:iCs/>
          <w:sz w:val="24"/>
          <w:szCs w:val="24"/>
        </w:rPr>
        <w:t xml:space="preserve"> – частоты языковых единиц в подкорпусе автора), взвешенное симметричное расстояние (новая мера, вычисляется по формуле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</m:func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den>
                </m:f>
              </m:e>
            </m:nary>
          </m:e>
        </m:d>
      </m:oMath>
      <w:r w:rsidRPr="003806E8">
        <w:rPr>
          <w:rFonts w:eastAsiaTheme="minorEastAsia"/>
          <w:iCs/>
          <w:sz w:val="24"/>
          <w:szCs w:val="24"/>
        </w:rPr>
        <w:t>)</w:t>
      </w:r>
      <w:r>
        <w:rPr>
          <w:rFonts w:eastAsiaTheme="minorEastAsia"/>
          <w:iCs/>
          <w:sz w:val="24"/>
          <w:szCs w:val="24"/>
        </w:rPr>
        <w:t xml:space="preserve">, расстояние энтропий (модуль разности энтропии Шеннона исследуемого текста и средней энтропии Шеннона для текстов проверяемого автора). </w:t>
      </w:r>
    </w:p>
    <w:p w14:paraId="65A7B247" w14:textId="78C240BE" w:rsidR="003806E8" w:rsidRDefault="003806E8" w:rsidP="003806E8">
      <w:pPr>
        <w:spacing w:after="0" w:line="240" w:lineRule="auto"/>
        <w:ind w:firstLine="397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Эксперимент по установлению точности мер определения авторства </w:t>
      </w:r>
      <w:r w:rsidR="001101AE">
        <w:rPr>
          <w:rFonts w:eastAsiaTheme="minorEastAsia"/>
          <w:iCs/>
          <w:sz w:val="24"/>
          <w:szCs w:val="24"/>
        </w:rPr>
        <w:t>проводился</w:t>
      </w:r>
      <w:r>
        <w:rPr>
          <w:rFonts w:eastAsiaTheme="minorEastAsia"/>
          <w:iCs/>
          <w:sz w:val="24"/>
          <w:szCs w:val="24"/>
        </w:rPr>
        <w:t xml:space="preserve"> следующим образом. Текст вынимался из корпуса, после чего данные о частотах языковых единиц пересчитывались без учёта данного текста. Затем авторство этого текста определялось с помощью каждой меры на основе относительных частот следующих языковых единиц: буквы, слова (в том числе отдельно служебные слова и отдельно знаменательные слова), риторические отношения. Этот эксперимент проводился для каждого текста в корпусе. Затем для всех комбинаций меры определения авторства и </w:t>
      </w:r>
      <w:r>
        <w:rPr>
          <w:rFonts w:eastAsiaTheme="minorEastAsia"/>
          <w:iCs/>
          <w:sz w:val="24"/>
          <w:szCs w:val="24"/>
        </w:rPr>
        <w:lastRenderedPageBreak/>
        <w:t>языковых единиц рассчитывалась точность (</w:t>
      </w:r>
      <w:r>
        <w:rPr>
          <w:rFonts w:eastAsiaTheme="minorEastAsia"/>
          <w:iCs/>
          <w:sz w:val="24"/>
          <w:szCs w:val="24"/>
          <w:lang w:val="en-US"/>
        </w:rPr>
        <w:t>accuracy</w:t>
      </w:r>
      <w:r>
        <w:rPr>
          <w:rFonts w:eastAsiaTheme="minorEastAsia"/>
          <w:iCs/>
          <w:sz w:val="24"/>
          <w:szCs w:val="24"/>
        </w:rPr>
        <w:t>)</w:t>
      </w:r>
      <w:r w:rsidRPr="003806E8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–</w:t>
      </w:r>
      <w:r w:rsidRPr="003806E8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доля текстов, авторство которых было определено правильно.</w:t>
      </w:r>
      <w:r w:rsidR="00510B8A">
        <w:rPr>
          <w:rFonts w:eastAsiaTheme="minorEastAsia"/>
          <w:iCs/>
          <w:sz w:val="24"/>
          <w:szCs w:val="24"/>
        </w:rPr>
        <w:t xml:space="preserve"> </w:t>
      </w:r>
    </w:p>
    <w:p w14:paraId="6C2CF0D1" w14:textId="51AEEB61" w:rsidR="00510B8A" w:rsidRDefault="00BD18AC" w:rsidP="003806E8">
      <w:pPr>
        <w:spacing w:after="0" w:line="240" w:lineRule="auto"/>
        <w:ind w:firstLine="397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Положительной</w:t>
      </w:r>
      <w:r w:rsidR="00510B8A">
        <w:rPr>
          <w:rFonts w:eastAsiaTheme="minorEastAsia"/>
          <w:iCs/>
          <w:sz w:val="24"/>
          <w:szCs w:val="24"/>
        </w:rPr>
        <w:t xml:space="preserve"> точности (</w:t>
      </w:r>
      <w:r w:rsidR="00510B8A" w:rsidRPr="00510B8A">
        <w:rPr>
          <w:rFonts w:eastAsiaTheme="minorEastAsia"/>
          <w:iCs/>
          <w:sz w:val="24"/>
          <w:szCs w:val="24"/>
        </w:rPr>
        <w:t xml:space="preserve">&gt;0,5) </w:t>
      </w:r>
      <w:r w:rsidR="00510B8A">
        <w:rPr>
          <w:rFonts w:eastAsiaTheme="minorEastAsia"/>
          <w:iCs/>
          <w:sz w:val="24"/>
          <w:szCs w:val="24"/>
        </w:rPr>
        <w:t xml:space="preserve">позволили добиться расстояние Кульбака-Лейблера, рассчитанное для служебных слов, и симметричное расстояние, рассчитанное для служебных слов и для всех слов. </w:t>
      </w:r>
      <w:r w:rsidR="00E37267">
        <w:rPr>
          <w:rFonts w:eastAsiaTheme="minorEastAsia"/>
          <w:iCs/>
          <w:sz w:val="24"/>
          <w:szCs w:val="24"/>
        </w:rPr>
        <w:t>Остальные комбинации обеспечивали точность в диапазоне от 0,2 до 0,475, что крайне мало.</w:t>
      </w:r>
      <w:r w:rsidR="00D236FD">
        <w:rPr>
          <w:rFonts w:eastAsiaTheme="minorEastAsia"/>
          <w:iCs/>
          <w:sz w:val="24"/>
          <w:szCs w:val="24"/>
        </w:rPr>
        <w:t xml:space="preserve"> </w:t>
      </w:r>
      <w:r w:rsidR="00663288">
        <w:rPr>
          <w:rFonts w:eastAsiaTheme="minorEastAsia"/>
          <w:iCs/>
          <w:sz w:val="24"/>
          <w:szCs w:val="24"/>
        </w:rPr>
        <w:t>Риторические структуры также показали себя неэффективно. Можно считать, что гипотеза об эффективности осмысленного подхода к определению авторства небольших текстов</w:t>
      </w:r>
      <w:r w:rsidR="00D50278">
        <w:rPr>
          <w:rFonts w:eastAsiaTheme="minorEastAsia"/>
          <w:iCs/>
          <w:sz w:val="24"/>
          <w:szCs w:val="24"/>
        </w:rPr>
        <w:t xml:space="preserve"> не</w:t>
      </w:r>
      <w:r w:rsidR="00663288">
        <w:rPr>
          <w:rFonts w:eastAsiaTheme="minorEastAsia"/>
          <w:iCs/>
          <w:sz w:val="24"/>
          <w:szCs w:val="24"/>
        </w:rPr>
        <w:t xml:space="preserve"> подтвердилась.</w:t>
      </w:r>
    </w:p>
    <w:p w14:paraId="6F8CBD61" w14:textId="33AC6E6A" w:rsidR="00AA1AF5" w:rsidRDefault="00AA1AF5" w:rsidP="00AA1AF5">
      <w:pPr>
        <w:spacing w:after="0" w:line="240" w:lineRule="auto"/>
        <w:ind w:firstLine="397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Размер корпуса в данном исследовании весьма ограничен. Требуется алгоритм, который позволил бы имитировать корпус большего размера, чтобы исследовать, как точность меры определения авторства зависит от размера текста и корпуса. Предложим дизайн такого эксперимента и проведём его. Для пилотного эксперимента ограничимся расстоянием Кульбака-Лейблера, симметричным расстоянием и взвешенным симметричным расстоянием как наиболее близкими концептуально мерами. Будем также использовать данные о частотах букв </w:t>
      </w:r>
      <w:r w:rsidR="00712BBC">
        <w:rPr>
          <w:rFonts w:eastAsiaTheme="minorEastAsia"/>
          <w:iCs/>
          <w:sz w:val="24"/>
          <w:szCs w:val="24"/>
        </w:rPr>
        <w:t>для 4 авторов из англоязычного подкорпуса</w:t>
      </w:r>
      <w:r>
        <w:rPr>
          <w:rFonts w:eastAsiaTheme="minorEastAsia"/>
          <w:iCs/>
          <w:sz w:val="24"/>
          <w:szCs w:val="24"/>
        </w:rPr>
        <w:t>.</w:t>
      </w:r>
    </w:p>
    <w:p w14:paraId="6BB61FD5" w14:textId="11DC268C" w:rsidR="00663288" w:rsidRDefault="00AA1AF5" w:rsidP="00AA1AF5">
      <w:pPr>
        <w:spacing w:after="0" w:line="240" w:lineRule="auto"/>
        <w:ind w:firstLine="397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 xml:space="preserve">Будем исследовать все возможные комбинации размера исследуемого текста </w:t>
      </w:r>
      <w:r>
        <w:rPr>
          <w:rFonts w:eastAsiaTheme="minorEastAsia"/>
          <w:iCs/>
          <w:sz w:val="24"/>
          <w:szCs w:val="24"/>
          <w:lang w:val="en-US"/>
        </w:rPr>
        <w:t>t</w:t>
      </w:r>
      <w:r w:rsidRPr="00AA1AF5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</w:rPr>
        <w:t>(от 10 до 1000 с шагом в 10) и размера корпуса</w:t>
      </w:r>
      <w:r w:rsidRPr="00AA1AF5">
        <w:rPr>
          <w:rFonts w:eastAsiaTheme="minorEastAsia"/>
          <w:iCs/>
          <w:sz w:val="24"/>
          <w:szCs w:val="24"/>
        </w:rPr>
        <w:t xml:space="preserve"> </w:t>
      </w:r>
      <w:r>
        <w:rPr>
          <w:rFonts w:eastAsiaTheme="minorEastAsia"/>
          <w:iCs/>
          <w:sz w:val="24"/>
          <w:szCs w:val="24"/>
          <w:lang w:val="en-US"/>
        </w:rPr>
        <w:t>k</w:t>
      </w:r>
      <w:r>
        <w:rPr>
          <w:rFonts w:eastAsiaTheme="minorEastAsia"/>
          <w:iCs/>
          <w:sz w:val="24"/>
          <w:szCs w:val="24"/>
        </w:rPr>
        <w:t xml:space="preserve"> (от 400 до 40 000 с шагом в 400). Максимальные значения выбраны так, чтобы приблизительно соответствовать характеристикам реального корпуса. Для каждой комбинации будем генерировать</w:t>
      </w:r>
      <w:r w:rsidR="00A32DF8">
        <w:rPr>
          <w:rFonts w:eastAsiaTheme="minorEastAsia"/>
          <w:iCs/>
          <w:sz w:val="24"/>
          <w:szCs w:val="24"/>
        </w:rPr>
        <w:t xml:space="preserve"> методом Монте-Карло</w:t>
      </w:r>
      <w:r>
        <w:rPr>
          <w:rFonts w:eastAsiaTheme="minorEastAsia"/>
          <w:iCs/>
          <w:sz w:val="24"/>
          <w:szCs w:val="24"/>
        </w:rPr>
        <w:t xml:space="preserve"> по 100 наборов чисел размерности 26 (по числу букв латиницы), сумма в которых должна быть равна </w:t>
      </w:r>
      <w:r>
        <w:rPr>
          <w:rFonts w:eastAsiaTheme="minorEastAsia"/>
          <w:iCs/>
          <w:sz w:val="24"/>
          <w:szCs w:val="24"/>
          <w:lang w:val="en-US"/>
        </w:rPr>
        <w:t>k</w:t>
      </w:r>
      <w:r>
        <w:rPr>
          <w:rFonts w:eastAsiaTheme="minorEastAsia"/>
          <w:iCs/>
          <w:sz w:val="24"/>
          <w:szCs w:val="24"/>
        </w:rPr>
        <w:t>. Они соответствуют текстам, авторство которых проверяется. Для генерации 25 наборов чисел</w:t>
      </w:r>
      <w:r w:rsidR="00712BBC">
        <w:rPr>
          <w:rFonts w:eastAsiaTheme="minorEastAsia"/>
          <w:iCs/>
          <w:sz w:val="24"/>
          <w:szCs w:val="24"/>
        </w:rPr>
        <w:t xml:space="preserve"> из этих наборов будут использоваться частоты букв первого автора, для генерации следующих 25 наборов – частоты букв второго автора и т.д.</w:t>
      </w:r>
      <w:r>
        <w:rPr>
          <w:rFonts w:eastAsiaTheme="minorEastAsia"/>
          <w:iCs/>
          <w:sz w:val="24"/>
          <w:szCs w:val="24"/>
        </w:rPr>
        <w:t xml:space="preserve"> Также будем генерировать по 4 набора чисел размерности 26, сумма в которых должна быть равна </w:t>
      </w:r>
      <w:r>
        <w:rPr>
          <w:rFonts w:eastAsiaTheme="minorEastAsia"/>
          <w:iCs/>
          <w:sz w:val="24"/>
          <w:szCs w:val="24"/>
          <w:lang w:val="en-US"/>
        </w:rPr>
        <w:t>k</w:t>
      </w:r>
      <w:r w:rsidRPr="00AA1AF5">
        <w:rPr>
          <w:rFonts w:eastAsiaTheme="minorEastAsia"/>
          <w:iCs/>
          <w:sz w:val="24"/>
          <w:szCs w:val="24"/>
        </w:rPr>
        <w:t>/4.</w:t>
      </w:r>
      <w:r>
        <w:rPr>
          <w:rFonts w:eastAsiaTheme="minorEastAsia"/>
          <w:iCs/>
          <w:sz w:val="24"/>
          <w:szCs w:val="24"/>
        </w:rPr>
        <w:t xml:space="preserve"> Они будут соответствовать подкорпусам текстов каждого из 4 авторов. </w:t>
      </w:r>
      <w:r w:rsidR="00D50278">
        <w:rPr>
          <w:rFonts w:eastAsiaTheme="minorEastAsia"/>
          <w:iCs/>
          <w:sz w:val="24"/>
          <w:szCs w:val="24"/>
        </w:rPr>
        <w:t xml:space="preserve">Для генерации каждого из </w:t>
      </w:r>
      <w:r w:rsidR="003A2B50">
        <w:rPr>
          <w:rFonts w:eastAsiaTheme="minorEastAsia"/>
          <w:iCs/>
          <w:sz w:val="24"/>
          <w:szCs w:val="24"/>
        </w:rPr>
        <w:t xml:space="preserve">них будем использовать относительные частоты букв каждого из четырёх авторов соответственно. Затем с помощью каждой из мер определения авторства будем </w:t>
      </w:r>
      <w:r w:rsidR="000A53E8">
        <w:rPr>
          <w:rFonts w:eastAsiaTheme="minorEastAsia"/>
          <w:iCs/>
          <w:sz w:val="24"/>
          <w:szCs w:val="24"/>
        </w:rPr>
        <w:t>определять авторство каждого «текста». Для каждой меры рассчитаем её точность для каждой комбинации размера корпуса и размера текста.</w:t>
      </w:r>
    </w:p>
    <w:p w14:paraId="6AC2344E" w14:textId="3139EB6B" w:rsidR="000A53E8" w:rsidRPr="00AA1AF5" w:rsidRDefault="000A53E8" w:rsidP="00AA1AF5">
      <w:pPr>
        <w:spacing w:after="0" w:line="240" w:lineRule="auto"/>
        <w:ind w:firstLine="397"/>
        <w:jc w:val="both"/>
        <w:rPr>
          <w:rFonts w:eastAsiaTheme="minorEastAsia"/>
          <w:iCs/>
          <w:sz w:val="24"/>
          <w:szCs w:val="24"/>
        </w:rPr>
      </w:pPr>
      <w:r>
        <w:rPr>
          <w:rFonts w:eastAsiaTheme="minorEastAsia"/>
          <w:iCs/>
          <w:sz w:val="24"/>
          <w:szCs w:val="24"/>
        </w:rPr>
        <w:t>Полученные с помощью данной методики результаты таковы. Расстояние Кульбака-Лейблера обеспечивает монотонно возрастающую точность, которая на максимальном размере корпуса и текста приближается к 1. Симметричное расстояние достигает точности 0,8 для размера текста 1000 символов и размера корпуса 10 000 символов, после чего при увеличении размера корпуса не увеличивается, но обладает большим разбросом. Взвешенное симметричное расстояние возрастает монотонно, но позволяет при максимальных значениях достичь точности 0,9.</w:t>
      </w:r>
      <w:r w:rsidR="0047710A">
        <w:rPr>
          <w:rFonts w:eastAsiaTheme="minorEastAsia"/>
          <w:iCs/>
          <w:sz w:val="24"/>
          <w:szCs w:val="24"/>
        </w:rPr>
        <w:t xml:space="preserve"> Этот</w:t>
      </w:r>
      <w:r w:rsidR="00FA0902">
        <w:rPr>
          <w:rFonts w:eastAsiaTheme="minorEastAsia"/>
          <w:iCs/>
          <w:sz w:val="24"/>
          <w:szCs w:val="24"/>
        </w:rPr>
        <w:t xml:space="preserve"> метод</w:t>
      </w:r>
      <w:r w:rsidR="0047710A">
        <w:rPr>
          <w:rFonts w:eastAsiaTheme="minorEastAsia"/>
          <w:iCs/>
          <w:sz w:val="24"/>
          <w:szCs w:val="24"/>
        </w:rPr>
        <w:t xml:space="preserve"> не улучшает точность определения авторства на практике, но позволяет сопоставить потенциально возможную точность каждой меры и </w:t>
      </w:r>
      <w:r w:rsidR="00B006F4">
        <w:rPr>
          <w:rFonts w:eastAsiaTheme="minorEastAsia"/>
          <w:iCs/>
          <w:sz w:val="24"/>
          <w:szCs w:val="24"/>
        </w:rPr>
        <w:t>её зависимость от размера материала.</w:t>
      </w:r>
    </w:p>
    <w:p w14:paraId="6DEE7AC6" w14:textId="74228EA6" w:rsidR="006567EA" w:rsidRPr="006460B3" w:rsidRDefault="006567EA" w:rsidP="004E2FE2">
      <w:pPr>
        <w:spacing w:before="20" w:afterLines="20" w:after="48" w:line="240" w:lineRule="auto"/>
        <w:ind w:firstLine="397"/>
        <w:jc w:val="both"/>
        <w:rPr>
          <w:b/>
          <w:bCs/>
          <w:sz w:val="24"/>
          <w:szCs w:val="24"/>
        </w:rPr>
      </w:pPr>
      <w:r w:rsidRPr="006460B3">
        <w:rPr>
          <w:b/>
          <w:bCs/>
          <w:sz w:val="24"/>
          <w:szCs w:val="24"/>
        </w:rPr>
        <w:t>Литература</w:t>
      </w:r>
    </w:p>
    <w:p w14:paraId="5BCE6C29" w14:textId="1B2017A7" w:rsidR="006460B3" w:rsidRPr="006460B3" w:rsidRDefault="006460B3" w:rsidP="004E2FE2">
      <w:pPr>
        <w:pStyle w:val="a7"/>
        <w:numPr>
          <w:ilvl w:val="0"/>
          <w:numId w:val="1"/>
        </w:numPr>
        <w:spacing w:before="20" w:afterLines="20" w:after="48" w:line="240" w:lineRule="auto"/>
        <w:ind w:firstLine="397"/>
        <w:jc w:val="both"/>
        <w:rPr>
          <w:sz w:val="24"/>
          <w:szCs w:val="24"/>
          <w:lang w:val="en-US"/>
        </w:rPr>
      </w:pPr>
      <w:r w:rsidRPr="006567EA">
        <w:rPr>
          <w:sz w:val="24"/>
          <w:szCs w:val="24"/>
          <w:lang w:val="en-US"/>
        </w:rPr>
        <w:t>Mann W.C., Thompson S.A. Rhetorical Structure Theory: Toward a functional theory of text organization // Interdisciplinary Journal for the Study of Discourse. – 1988. – Vol. 8, № 3. – P. 243–281.</w:t>
      </w:r>
    </w:p>
    <w:p w14:paraId="7F78552D" w14:textId="39381F7C" w:rsidR="006567EA" w:rsidRPr="004E2FE2" w:rsidRDefault="006567EA" w:rsidP="004E2FE2">
      <w:pPr>
        <w:pStyle w:val="a7"/>
        <w:numPr>
          <w:ilvl w:val="0"/>
          <w:numId w:val="1"/>
        </w:numPr>
        <w:spacing w:before="20" w:afterLines="20" w:after="48" w:line="240" w:lineRule="auto"/>
        <w:ind w:firstLine="397"/>
        <w:jc w:val="both"/>
        <w:rPr>
          <w:sz w:val="24"/>
          <w:szCs w:val="24"/>
          <w:lang w:val="en-US"/>
        </w:rPr>
      </w:pPr>
      <w:r w:rsidRPr="006567EA">
        <w:rPr>
          <w:sz w:val="24"/>
          <w:szCs w:val="24"/>
          <w:lang w:val="en-US"/>
        </w:rPr>
        <w:t>Zorkaltsev A.V. Rhetorical Structure Theory: Analysis of Aesthetics and Complexity of Song Poetry // 2024 International Conference of Young Specialists on Micro/Nanotechnologies and Electron Devices (EDM). – IEEE, 2024. – P. 2210–2213.</w:t>
      </w:r>
    </w:p>
    <w:p w14:paraId="624CD81D" w14:textId="391CAC44" w:rsidR="004E2FE2" w:rsidRPr="004E2FE2" w:rsidRDefault="004E2FE2" w:rsidP="004E2FE2">
      <w:pPr>
        <w:pStyle w:val="a7"/>
        <w:numPr>
          <w:ilvl w:val="0"/>
          <w:numId w:val="1"/>
        </w:numPr>
        <w:spacing w:before="20" w:afterLines="20" w:after="48" w:line="240" w:lineRule="auto"/>
        <w:ind w:firstLine="397"/>
        <w:jc w:val="both"/>
        <w:rPr>
          <w:sz w:val="24"/>
          <w:szCs w:val="24"/>
        </w:rPr>
      </w:pPr>
      <w:r w:rsidRPr="006567EA">
        <w:rPr>
          <w:sz w:val="24"/>
          <w:szCs w:val="24"/>
        </w:rPr>
        <w:t>Хмелёв Д.В. Распознавание автора с использованием цепей А. А. Маркова // Вестник МГУ. Сер. 9: Филология. – 2000. – № 2. – С. 115–126.</w:t>
      </w:r>
    </w:p>
    <w:p w14:paraId="3858C38D" w14:textId="1C098CD7" w:rsidR="006567EA" w:rsidRPr="006567EA" w:rsidRDefault="006567EA" w:rsidP="004E2FE2">
      <w:pPr>
        <w:pStyle w:val="a7"/>
        <w:numPr>
          <w:ilvl w:val="0"/>
          <w:numId w:val="1"/>
        </w:numPr>
        <w:spacing w:line="240" w:lineRule="auto"/>
        <w:ind w:firstLine="397"/>
        <w:jc w:val="both"/>
        <w:rPr>
          <w:sz w:val="24"/>
          <w:szCs w:val="24"/>
          <w:lang w:val="en-US"/>
        </w:rPr>
      </w:pPr>
      <w:r w:rsidRPr="006567EA">
        <w:rPr>
          <w:sz w:val="24"/>
          <w:szCs w:val="24"/>
          <w:lang w:val="en-US"/>
        </w:rPr>
        <w:t>Timofeeva M.K. Comparative Analysis of Reasoning in Russian Classic Poetry // Applied Sciences. – 2021. – Vol. 11, № 18. – P. 8665.</w:t>
      </w:r>
    </w:p>
    <w:p w14:paraId="083A0665" w14:textId="356CC94E" w:rsidR="006567EA" w:rsidRPr="004E2FE2" w:rsidRDefault="006567EA" w:rsidP="004E2FE2">
      <w:pPr>
        <w:pStyle w:val="a7"/>
        <w:numPr>
          <w:ilvl w:val="0"/>
          <w:numId w:val="1"/>
        </w:numPr>
        <w:spacing w:line="240" w:lineRule="auto"/>
        <w:ind w:firstLine="397"/>
        <w:jc w:val="both"/>
        <w:rPr>
          <w:sz w:val="24"/>
          <w:szCs w:val="24"/>
          <w:lang w:val="en-US"/>
        </w:rPr>
      </w:pPr>
      <w:r w:rsidRPr="006567EA">
        <w:rPr>
          <w:sz w:val="24"/>
          <w:szCs w:val="24"/>
          <w:lang w:val="en-US"/>
        </w:rPr>
        <w:t>Kullback S., Leibler R.A. On information and sufficiency // The Annals of Mathematical Statistics. – 1951. – Vol. 22, № 1. – P. 79–86.</w:t>
      </w:r>
    </w:p>
    <w:sectPr w:rsidR="006567EA" w:rsidRPr="004E2FE2" w:rsidSect="006567E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C8E"/>
    <w:multiLevelType w:val="hybridMultilevel"/>
    <w:tmpl w:val="FFFFFFFF"/>
    <w:lvl w:ilvl="0" w:tplc="2B20F3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D50F14"/>
    <w:multiLevelType w:val="hybridMultilevel"/>
    <w:tmpl w:val="7AC07CCE"/>
    <w:lvl w:ilvl="0" w:tplc="DBE0E42E">
      <w:numFmt w:val="bullet"/>
      <w:lvlText w:val=""/>
      <w:lvlJc w:val="left"/>
      <w:pPr>
        <w:ind w:left="75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069501520">
    <w:abstractNumId w:val="0"/>
  </w:num>
  <w:num w:numId="2" w16cid:durableId="78862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C6"/>
    <w:rsid w:val="000A53E8"/>
    <w:rsid w:val="001101AE"/>
    <w:rsid w:val="003806E8"/>
    <w:rsid w:val="003A2B50"/>
    <w:rsid w:val="004557F9"/>
    <w:rsid w:val="0047710A"/>
    <w:rsid w:val="00485604"/>
    <w:rsid w:val="004E2FE2"/>
    <w:rsid w:val="00510B8A"/>
    <w:rsid w:val="006460B3"/>
    <w:rsid w:val="006567EA"/>
    <w:rsid w:val="00663288"/>
    <w:rsid w:val="00712BBC"/>
    <w:rsid w:val="00822E15"/>
    <w:rsid w:val="00897568"/>
    <w:rsid w:val="008F3C32"/>
    <w:rsid w:val="008F72CE"/>
    <w:rsid w:val="009169F2"/>
    <w:rsid w:val="00A32DF8"/>
    <w:rsid w:val="00AA1AF5"/>
    <w:rsid w:val="00AE7FB5"/>
    <w:rsid w:val="00B006F4"/>
    <w:rsid w:val="00BB76DD"/>
    <w:rsid w:val="00BD18AC"/>
    <w:rsid w:val="00CD67C6"/>
    <w:rsid w:val="00D236FD"/>
    <w:rsid w:val="00D50278"/>
    <w:rsid w:val="00DC1B29"/>
    <w:rsid w:val="00E37267"/>
    <w:rsid w:val="00FA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71BB"/>
  <w15:chartTrackingRefBased/>
  <w15:docId w15:val="{185A96E7-EEFC-46EA-A7FD-D6858E62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7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7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7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7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7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7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7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7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D67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7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7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7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7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7C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7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D67C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D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7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7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7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7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67C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567E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6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azor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Зоркальцев</dc:creator>
  <cp:keywords/>
  <dc:description/>
  <cp:lastModifiedBy>Антон Зоркальцев</cp:lastModifiedBy>
  <cp:revision>16</cp:revision>
  <dcterms:created xsi:type="dcterms:W3CDTF">2026-03-01T13:40:00Z</dcterms:created>
  <dcterms:modified xsi:type="dcterms:W3CDTF">2026-03-01T15:40:00Z</dcterms:modified>
</cp:coreProperties>
</file>