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center"/>
        <w:textAlignment w:val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>оциолингвистическое исследование игрового приговора к детской досуговой игре «Летел лебедь...»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center"/>
        <w:textAlignment w:val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sz w:val="24"/>
          <w:szCs w:val="24"/>
          <w:rtl w:val="0"/>
        </w:rPr>
        <w:t>Ч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угаева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К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ира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Н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иколаевна,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Б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еляева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А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лександра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Р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омановна,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М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еринов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М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аксим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В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>ладимирович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center"/>
        <w:textAlignment w:val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sz w:val="24"/>
          <w:szCs w:val="24"/>
          <w:rtl w:val="0"/>
        </w:rPr>
        <w:t>С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туденты федерального государственного автономного образовательного учреждения высшего образования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«Н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>ациональный исследовательский университет „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В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>ысшая школа экономики“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»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М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осква,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Р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>оссия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center"/>
        <w:textAlignment w:val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Наше исследование посвящено игровым приговорам к детской досуговой игре, широко распространённой на постсоветском пространстве.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Техника игры следующая: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ва или более игроков встают в круг, соединяя ладони так, чтобы одна рука каждого была тыльной стороной к ладони соседа, а другая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лицевой. По кругу «передаются» хлопки по ладоням, сопровождаемые счетом, пока он не достигнет числа, заданного в начале раунда. На последнем числе хлопающий пытается попасть по ладони соседа, а тот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избежать хлопка. При попадании выбывает сосед, при промахе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хлопавший. 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rtl w:val="0"/>
        </w:rPr>
        <w:t xml:space="preserve">Существует множество вариаций игровых приговоров – вступлений для начала счёта и назначения максимального числа хлопков в раунде. Это ритмичные и часто рифмованные тексты, на каждое слово в которых происходят такие же хлопки по кругу, как и во время самой игры. Московский вариант звучит так: «Летел лебедь по синему небу, читал газету под номером...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highlight w:val="white"/>
          <w:rtl w:val="0"/>
        </w:rPr>
        <w:t>(называется число)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rtl w:val="0"/>
        </w:rPr>
        <w:t>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rtl w:val="0"/>
        </w:rPr>
        <w:t>Если придерживаться классификации детских игр, это игра, придуманная взрослыми, с правилами, а именно досуговая игра-аттракцион [Новоселова: 162-163]. Поскольку игра безопасна, не требует реквизита и позволяет занять большое количество детей на длительное время, она поощряется и даже инициируется взрослыми.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rtl w:val="0"/>
        </w:rPr>
        <w:t xml:space="preserve">Данная игра не описана в научной литературе, посвящённой детскому фольклору, и вариации её игровых приговоров также не изучены. По результатам исследования мы можем понять, что игра актуальна, появляются новые игровые приговоры и модифицируются старые. Следовательно, исследование интересно для рассмотрения.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rtl w:val="0"/>
        </w:rPr>
        <w:t>Методология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1) 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>Сбор материала с помощью Google Форм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Наши ре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спонденты представляли 79 из 89 регионов России и регионы ближнего зарубежья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. 51% респондентов принадлежит к возрастной категории 16-20 лет, 22% – к возрастной категории 21-25 лет. Остальные возрастные группы представлены примерно в равной пропорции.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2) 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>Анализ данных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При анализе мы ориентировались как на количественные, так и на качественные показатели. Из 803 предоставленных респондентами игровых приговоров мы выделили 131 уникальную вариацию текста игры, при этом 97 вступлений встречаются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по одному разу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. Особенность данного материала в том, что вступления имеют сложную структуру и состоят из логических 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rtl w:val="0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блоков», которые могут по-разному сочетаться друг с другом, что приводит к широкому разнообразию приговоров. Мы попытались классифицировать вступления по разным признакам: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auto"/>
          <w:rtl w:val="0"/>
        </w:rPr>
        <w:t xml:space="preserve">по типу игрового приговора-вступления: 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u w:val="none"/>
          <w:shd w:val="clear" w:color="auto" w:fill="aut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>классический (первичный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), когда приговор представляет собой некоторую историю и его можно поделить на логические блоки, например: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rtl w:val="0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Летел лебедь по синему небу, читал газету под номером…»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u w:val="none"/>
          <w:shd w:val="clear" w:color="auto" w:fill="aut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>формальный (вторичный)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, когда игровым приговором служит предложение обсудить какую-то тему или представить проект, например: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  <w:rtl w:val="0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Сегодня я хочу затронуть тему…» или «Итак…». Вступления вторичного типа составляют 4% от уникальных вариаций. Предположительно, они были предложены для игры взрослыми в дидактических целях. 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u w:val="none"/>
          <w:shd w:val="clear" w:color="auto" w:fill="auto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auto"/>
          <w:rtl w:val="0"/>
        </w:rPr>
        <w:t>по типу входной информации: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 техника игры предполагает, что после произнесения игроками приговора следующий по кругу человек задаёт информацию одного из типов: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 xml:space="preserve">слово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(итерация происходит по буквам слова),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 xml:space="preserve">буква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(по буквам алфавита с «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» до названной),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>цифра или число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 (с нуля/единицы до данного числа),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 xml:space="preserve">нота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(по нотам, начиная с «до» до названной ноты).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u w:val="none"/>
          <w:shd w:val="clear" w:color="auto" w:fill="auto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auto"/>
          <w:rtl w:val="0"/>
        </w:rPr>
        <w:t>по началу: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 начала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>классических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 приговоров из двух-трёх слов, которые являются обязательным блоком любого вступления. Мы выделили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>29 вариантов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 начала приговоров, из которых в дальнейшем количественном анализе учитывали 19 наиболее частотных: «летел лебедь», «летели дракончики», «летела ворона» и т. д.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 w:val="0"/>
        </w:rPr>
        <w:t>3) Визуализация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Предобработка приговоров была произведена при помощи инструментов языка программирования Python. Затем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с помощью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 библиотеки PyVis были созданы графы, на которых отражены связи между словами во вступлениях и основные тренды в приговорах. Кроме того, на основе полученных данных были выделены ареалы распространения некоторых вступлений.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>Некоторые выводы из результатов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Из-за особенностей методологии исследования и возрастного распределения выборки нам сложно делать выводы об особенностях распространения и модификации данной игры в диахронии, хотя некоторые тренды в использований тех или иных вступлений-приговоров прослеживаются. Мы можем предположить, что игра распространилась по территории СССР в 1970–1980-х годах прошлого века. Это можно связать с появлением культуры городских дворовых и школьных игр, хотя, вероятно, данная игра существовала и раньше, о чём говорит кейс с монгольской игрой-приговором, описанны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 ниже.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Мы можем сделать некоторые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auto"/>
          <w:rtl w:val="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выводы о географии данного феномена. Предположительно,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эта игра возникла в центральной России и затем распространилась по другим её регионам.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Её к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омбинаторность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 (высокая степень деления на шаблоны)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создает вариативност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>, хотя игра подчиняется четкой структуре.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 Ш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аблоны имеют отчетливую региональную привязку.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auto"/>
          <w:rtl w:val="0"/>
        </w:rPr>
        <w:t xml:space="preserve">апример, «Летел лебедь» покрывает центральную Россию, «Летела корова» – южные районы России, «Улица Пушкина» – Южный Урал, «Летела ворона» – Урал и Поволжье. Некоторые варианты сконцентрированы на очень чётко очерченных территориях. Так, вариант «Жил-был гном» эндемичен для Кемеровской области, а «Шла лисичка» – для Липецкой области.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sz w:val="24"/>
          <w:szCs w:val="24"/>
          <w:shd w:val="clear" w:color="auto" w:fill="auto"/>
        </w:rPr>
      </w:pPr>
      <w:bookmarkStart w:id="1" w:name="_tebef6jhm3sn" w:colFirst="0" w:colLast="0"/>
      <w:bookmarkEnd w:id="1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Нам встретился также вариант игры на монгольском языке, не являющийся прямым переводом русских приговоров, при том, что техника игры совпадает. Но, к сожалению, из-за возрастной категории респондента (16-20 лет) </w:t>
      </w:r>
      <w:r>
        <w:rPr>
          <w:rFonts w:ascii="Times New Roman" w:eastAsia="Times New Roman" w:hAnsi="Times New Roman" w:cs="Times New Roman"/>
          <w:sz w:val="24"/>
          <w:szCs w:val="24"/>
          <w:rtl w:val="0"/>
        </w:rPr>
        <w:t>м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>ы не можем судить об особенностях бытования варианта в Монголии.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left"/>
        <w:textAlignment w:val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>Литература: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>Новоселова С.Л. Игра дошкольника. М., 1989.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both"/>
        <w:textAlignment w:val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auto"/>
          <w:rtl w:val="0"/>
        </w:rPr>
        <w:t xml:space="preserve">Приложение: </w:t>
      </w:r>
      <w:r>
        <w:fldChar w:fldCharType="begin"/>
      </w:r>
      <w:r>
        <w:instrText xml:space="preserve"> HYPERLINK "https://github.com/chugcha/Swans-crows-and-dwarves" \h </w:instrText>
      </w:r>
      <w:r>
        <w:fldChar w:fldCharType="separate"/>
      </w:r>
      <w:r>
        <w:rPr>
          <w:rFonts w:ascii="Times New Roman" w:eastAsia="Times New Roman" w:hAnsi="Times New Roman" w:cs="Times New Roman"/>
          <w:b w:val="0"/>
          <w:bCs w:val="0"/>
          <w:color w:val="1155CC"/>
          <w:sz w:val="24"/>
          <w:szCs w:val="24"/>
          <w:u w:val="single"/>
          <w:shd w:val="clear" w:color="auto" w:fill="auto"/>
          <w:rtl w:val="0"/>
        </w:rPr>
        <w:t xml:space="preserve">репозиторий с результатами исследования и визуализацией </w:t>
      </w:r>
      <w:r>
        <w:rPr>
          <w:rFonts w:ascii="Times New Roman" w:eastAsia="Times New Roman" w:hAnsi="Times New Roman" w:cs="Times New Roman"/>
          <w:b w:val="0"/>
          <w:bCs w:val="0"/>
          <w:color w:val="1155CC"/>
          <w:sz w:val="24"/>
          <w:szCs w:val="24"/>
          <w:u w:val="single"/>
          <w:shd w:val="clear" w:color="auto" w:fill="auto"/>
          <w:rtl w:val="0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300" w:firstLineChars="125"/>
        <w:jc w:val="left"/>
        <w:textAlignment w:val="auto"/>
        <w:rPr>
          <w:rFonts w:ascii="Times New Roman" w:eastAsia="Times New Roman" w:hAnsi="Times New Roman" w:cs="Times New Roman"/>
          <w:sz w:val="24"/>
          <w:szCs w:val="24"/>
          <w:shd w:val="clear" w:color="auto" w:fill="auto"/>
        </w:rPr>
      </w:pPr>
    </w:p>
    <w:sectPr>
      <w:footerReference w:type="default" r:id="rId4"/>
      <w:pgSz w:w="11909" w:h="16834"/>
      <w:pgMar w:top="1133" w:right="1417" w:bottom="1133" w:left="1417" w:header="720" w:footer="720" w:gutter="0"/>
      <w:pgNumType w:start="1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  <w:embedRegular r:id="rId1" w:fontKey="{50D3069F-321D-44A2-9BEB-E84A4E44FFD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61436823-BC95-43F9-804F-05EB77945DFF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4F2F610-AD8D-4146-85CA-D9E5D28B7EF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36216C72-FB20-4A74-A118-DD69D2B669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425" w:hanging="425"/>
      </w:pPr>
    </w:lvl>
    <w:lvl w:ilvl="1">
      <w:start w:val="1"/>
      <w:numFmt w:val="bullet"/>
      <w:lvlJc w:val="left"/>
      <w:pPr>
        <w:ind w:left="0" w:firstLine="0"/>
      </w:pPr>
    </w:lvl>
    <w:lvl w:ilvl="2">
      <w:start w:val="1"/>
      <w:numFmt w:val="bullet"/>
      <w:lvlJc w:val="left"/>
      <w:pPr>
        <w:ind w:left="0" w:firstLine="0"/>
      </w:pPr>
    </w:lvl>
    <w:lvl w:ilvl="3">
      <w:start w:val="1"/>
      <w:numFmt w:val="bullet"/>
      <w:lvlJc w:val="left"/>
      <w:pPr>
        <w:ind w:left="0" w:firstLine="0"/>
      </w:pPr>
    </w:lvl>
    <w:lvl w:ilvl="4">
      <w:start w:val="1"/>
      <w:numFmt w:val="bullet"/>
      <w:lvlJc w:val="left"/>
      <w:pPr>
        <w:ind w:left="0" w:firstLine="0"/>
      </w:pPr>
    </w:lvl>
    <w:lvl w:ilvl="5">
      <w:start w:val="1"/>
      <w:numFmt w:val="bullet"/>
      <w:lvlJc w:val="left"/>
      <w:pPr>
        <w:ind w:left="0" w:firstLine="0"/>
      </w:pPr>
    </w:lvl>
    <w:lvl w:ilvl="6">
      <w:start w:val="1"/>
      <w:numFmt w:val="bullet"/>
      <w:lvlJc w:val="left"/>
      <w:pPr>
        <w:ind w:left="0" w:firstLine="0"/>
      </w:pPr>
    </w:lvl>
    <w:lvl w:ilvl="7">
      <w:start w:val="1"/>
      <w:numFmt w:val="bullet"/>
      <w:lvlJc w:val="left"/>
      <w:pPr>
        <w:ind w:left="0" w:firstLine="0"/>
      </w:pPr>
    </w:lvl>
    <w:lvl w:ilvl="8">
      <w:start w:val="1"/>
      <w:numFmt w:val="bullet"/>
      <w:lvlJc w:val="left"/>
      <w:pPr>
        <w:ind w:left="0" w:firstLine="0"/>
      </w:p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decimal"/>
      <w:lvlText w:val="%1.%2.%3.%4.%5."/>
      <w:lvlJc w:val="left"/>
      <w:pPr>
        <w:ind w:left="991" w:hanging="991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5" w:hanging="1275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8" w:hanging="1558"/>
      </w:pPr>
    </w:lvl>
  </w:abstractNum>
  <w:abstractNum w:abstractNumId="2">
    <w:nsid w:val="59ADCABA"/>
    <w:multiLevelType w:val="multilevel"/>
    <w:tmpl w:val="59ADCABA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Jc w:val="left"/>
      <w:pPr>
        <w:ind w:left="0" w:firstLine="0"/>
      </w:pPr>
    </w:lvl>
    <w:lvl w:ilvl="2">
      <w:start w:val="1"/>
      <w:numFmt w:val="bullet"/>
      <w:lvlJc w:val="left"/>
      <w:pPr>
        <w:ind w:left="0" w:firstLine="0"/>
      </w:pPr>
    </w:lvl>
    <w:lvl w:ilvl="3">
      <w:start w:val="1"/>
      <w:numFmt w:val="bullet"/>
      <w:lvlJc w:val="left"/>
      <w:pPr>
        <w:ind w:left="0" w:firstLine="0"/>
      </w:pPr>
    </w:lvl>
    <w:lvl w:ilvl="4">
      <w:start w:val="1"/>
      <w:numFmt w:val="bullet"/>
      <w:lvlJc w:val="left"/>
      <w:pPr>
        <w:ind w:left="0" w:firstLine="0"/>
      </w:pPr>
    </w:lvl>
    <w:lvl w:ilvl="5">
      <w:start w:val="1"/>
      <w:numFmt w:val="bullet"/>
      <w:lvlJc w:val="left"/>
      <w:pPr>
        <w:ind w:left="0" w:firstLine="0"/>
      </w:pPr>
    </w:lvl>
    <w:lvl w:ilvl="6">
      <w:start w:val="1"/>
      <w:numFmt w:val="bullet"/>
      <w:lvlJc w:val="left"/>
      <w:pPr>
        <w:ind w:left="0" w:firstLine="0"/>
      </w:pPr>
    </w:lvl>
    <w:lvl w:ilvl="7">
      <w:start w:val="1"/>
      <w:numFmt w:val="bullet"/>
      <w:lvlJc w:val="left"/>
      <w:pPr>
        <w:ind w:left="0" w:firstLine="0"/>
      </w:pPr>
    </w:lvl>
    <w:lvl w:ilvl="8">
      <w:start w:val="1"/>
      <w:numFmt w:val="bullet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/>
    <w:lsdException w:name="heading 3" w:semiHidden="0" w:uiPriority="0" w:unhideWhenUsed="0" w:qFormat="1"/>
    <w:lsdException w:name="heading 4" w:semiHidden="0" w:uiPriority="0" w:unhideWhenUsed="0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</w:latentStyles>
  <w:style w:type="paragraph" w:default="1" w:styleId="Normal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styleId="Heading1">
    <w:name w:val="heading 1"/>
    <w:basedOn w:val="Normal"/>
    <w:next w:val="Normal"/>
    <w:qFormat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qFormat/>
    <w:pPr>
      <w:keepNext/>
      <w:keepLines/>
      <w:pageBreakBefore w:val="0"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5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Кира Чугаева</cp:lastModifiedBy>
  <cp:revision>0</cp:revision>
  <dcterms:created xsi:type="dcterms:W3CDTF">2026-03-09T13:13:00Z</dcterms:created>
  <dcterms:modified xsi:type="dcterms:W3CDTF">2026-03-09T13:33:51Z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4C4EF4900A344F08BA3148011C66EFD5_13</vt:lpwstr>
  </property>
  <property fmtid="{D5CDD505-2E9C-101B-9397-08002B2CF9AE}" pid="3" name="KSOProductBuildVer">
    <vt:lpwstr>1049-12.2.0.23196</vt:lpwstr>
  </property>
</Properties>
</file>