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2785" w14:textId="539EAF71" w:rsidR="00FD6100" w:rsidRDefault="004A54CA" w:rsidP="00FD6100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54CA">
        <w:rPr>
          <w:rFonts w:ascii="Times New Roman" w:hAnsi="Times New Roman" w:cs="Times New Roman"/>
          <w:b/>
          <w:bCs/>
          <w:sz w:val="24"/>
          <w:szCs w:val="24"/>
        </w:rPr>
        <w:t>«Поэт и театр»: проблемы рецепции («Антимиры» А. Вознесенского на сцене Театра на Таганке)</w:t>
      </w:r>
      <w:r w:rsidRPr="004A54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1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Базанова Е.В.</w:t>
      </w:r>
    </w:p>
    <w:p w14:paraId="603DDC69" w14:textId="438EA811" w:rsidR="00FD6100" w:rsidRDefault="00FD6100" w:rsidP="00FD61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4A54C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курса магистратуры</w:t>
      </w:r>
    </w:p>
    <w:p w14:paraId="7EF588CE" w14:textId="4414577A" w:rsidR="00FD6100" w:rsidRDefault="00FD6100" w:rsidP="00FD61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Московский государственный университет им. М.В. Ломоносова, филологический факультет, Москва, Россия</w:t>
      </w:r>
    </w:p>
    <w:p w14:paraId="5B6CADA6" w14:textId="0ECB58A5" w:rsidR="00FD6100" w:rsidRPr="005E0915" w:rsidRDefault="004A54CA" w:rsidP="00FD61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D6100" w:rsidRPr="00DD46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kate</w:t>
        </w:r>
        <w:r w:rsidR="00FD6100" w:rsidRPr="005E091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FD6100" w:rsidRPr="00DD46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bazanova</w:t>
        </w:r>
        <w:r w:rsidR="00FD6100" w:rsidRPr="005E0915">
          <w:rPr>
            <w:rStyle w:val="a3"/>
            <w:rFonts w:ascii="Times New Roman" w:hAnsi="Times New Roman" w:cs="Times New Roman"/>
            <w:sz w:val="24"/>
            <w:szCs w:val="24"/>
          </w:rPr>
          <w:t>02@</w:t>
        </w:r>
        <w:r w:rsidR="00FD6100" w:rsidRPr="00DD46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D6100" w:rsidRPr="005E09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D6100" w:rsidRPr="00DD462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729E13A" w14:textId="394AF3B1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«Антимиры» </w:t>
      </w:r>
      <w:r>
        <w:rPr>
          <w:rFonts w:ascii="Times New Roman" w:hAnsi="Times New Roman" w:cs="Times New Roman"/>
          <w:sz w:val="24"/>
          <w:szCs w:val="24"/>
        </w:rPr>
        <w:t>стали п</w:t>
      </w:r>
      <w:r w:rsidRPr="004A54CA">
        <w:rPr>
          <w:rFonts w:ascii="Times New Roman" w:hAnsi="Times New Roman" w:cs="Times New Roman"/>
          <w:sz w:val="24"/>
          <w:szCs w:val="24"/>
        </w:rPr>
        <w:t>ервыми в череде спектаклей «фирменного жанра» «Таганки». Спустя пять лет, в 1970, театр вновь попробует вывести на сцену стихи этого поэта. Безуспешно: «Берегите ваши лица» войдет в число запрещенных спектаклей Театра на Таганке.</w:t>
      </w:r>
    </w:p>
    <w:p w14:paraId="5CB24BBB" w14:textId="74A2A61F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В данном </w:t>
      </w:r>
      <w:r>
        <w:rPr>
          <w:rFonts w:ascii="Times New Roman" w:hAnsi="Times New Roman" w:cs="Times New Roman"/>
          <w:sz w:val="24"/>
          <w:szCs w:val="24"/>
        </w:rPr>
        <w:t>докладе</w:t>
      </w:r>
      <w:r w:rsidRPr="004A54CA">
        <w:rPr>
          <w:rFonts w:ascii="Times New Roman" w:hAnsi="Times New Roman" w:cs="Times New Roman"/>
          <w:sz w:val="24"/>
          <w:szCs w:val="24"/>
        </w:rPr>
        <w:t xml:space="preserve"> мы сосредоточились на истории, поэтике и рецепции спектакля «Антимиры» по стихам А. Вознесенского (авторы сценической композиции Ю. Любимов и А. Вознесенский). Материалом для исследования послужили архивные материалы, многие из которых впервые вводятся в научный оборот: различные варианты сценариев спектакля «Антимиры», из которых на основе проведенного автором данной работы анализа исторических источников составляется и приводится в качестве приложения наиболее аутентичный вариант; критические статьи о спектакле; воспоминания современников, работавших над постановкой или видевших ее; протоколы совещаний, переписки с различными ведомствами, докладные записки, отзывы зрителей и другие документы, хранящиеся в РГАЛИ, РГБИ и РГБ.</w:t>
      </w:r>
    </w:p>
    <w:p w14:paraId="3F1020B9" w14:textId="408C90BC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>«Антимиры» стали «первыми» во многих аспектах: первый поэтический спектакль; первый спектакль «в черном»  — черные современные рубашки и свитера станут очередной визитной карточкой «Таганки»; первая «синтетическая» постановка (Любимов привлек музыку и танец, чтобы должным образом интерпретировать лирические тексты и адаптировать их к сценическому пространству). Работа с лирической литературной основой нередко приводит режиссеров к синтетическим сценическим решениям — на помощь искусной сценической речи  приходят световой жест, музыкальное оформление, пластические и ритмические этюды, сценография (местами весьма буквальная). Таким образом зачастую компенсируется недостаток динамического компонента в первоисточнике, препятствующий полноценному переводу текста с языка литературы на язык театра, и, как следствие (в данном случае), с языка лирики на язык драмы. В.Е. Хализев в работе «Драма как род литературы» писал об основах, на которых выстраивается разграничение родов литературы в целом: «Первое – это наличие или отсутствие сюжетности как организующего начала произведения. Второе – это принцип ведения художественной речи, точнее, акцентирование ее сообщающих (дескриптивных), или действенно-коммуникативных, или же собственно экспрессивных начал»</w:t>
      </w:r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4A54CA">
        <w:rPr>
          <w:rFonts w:ascii="Times New Roman" w:hAnsi="Times New Roman" w:cs="Times New Roman"/>
          <w:sz w:val="24"/>
          <w:szCs w:val="24"/>
        </w:rPr>
        <w:t>. Безусловно, это применимо к случаю «Антимиров» на сцене «Таганки».</w:t>
      </w:r>
    </w:p>
    <w:p w14:paraId="68C4203D" w14:textId="77777777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>Особый интерес вызывает реконструкция процесса создания сценической композиции из разрозненных стихотворений А. Вознесенского. Вопреки названию спектакля со сцены звучали стихи не только из заглавного сборника. Любимов и Вознесенский создавали свой коллаж: «разрезали» стихотворение в удобном для них месте, включали в возникший пробел другой лирический текст. Так создатели театрального сценария, который вполне можно назвать пьесой, создавали развернутую сюжетику, систему персонажей и конфликты, необходимые для полноценного драматического действия.</w:t>
      </w:r>
    </w:p>
    <w:p w14:paraId="28892DD4" w14:textId="02BF2EE9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>Порой соединялись стихотворения не просто разные, а контрастные: так, в начале сценической композиции яркий и динамичный «Рок-н-рол» прерывался стихотворением «Тишина» под лирический аккомпанемент скрипки.</w:t>
      </w:r>
    </w:p>
    <w:p w14:paraId="447438DF" w14:textId="2E2D608E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lastRenderedPageBreak/>
        <w:t>Чередование контрастных (по смыслу, музыкальному оформлению, ритму, пластическим техникам) эпизодов стало основополагающим приемом в архитектонике спектакля и позволяло его создателям достигнуть необходимой динамики действия.</w:t>
      </w:r>
    </w:p>
    <w:p w14:paraId="5CB99900" w14:textId="77777777" w:rsid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A54CA">
        <w:rPr>
          <w:rFonts w:ascii="Times New Roman" w:hAnsi="Times New Roman" w:cs="Times New Roman"/>
          <w:sz w:val="24"/>
          <w:szCs w:val="24"/>
        </w:rPr>
        <w:t>Текст</w:t>
      </w:r>
      <w:r>
        <w:rPr>
          <w:rFonts w:ascii="Times New Roman" w:hAnsi="Times New Roman" w:cs="Times New Roman"/>
          <w:sz w:val="24"/>
          <w:szCs w:val="24"/>
        </w:rPr>
        <w:t xml:space="preserve"> спектакля»</w:t>
      </w:r>
      <w:r w:rsidRPr="004A54CA">
        <w:rPr>
          <w:rFonts w:ascii="Times New Roman" w:hAnsi="Times New Roman" w:cs="Times New Roman"/>
          <w:sz w:val="24"/>
          <w:szCs w:val="24"/>
        </w:rPr>
        <w:t xml:space="preserve"> был составлен Вознесенским</w:t>
      </w:r>
      <w:r>
        <w:rPr>
          <w:rFonts w:ascii="Times New Roman" w:hAnsi="Times New Roman" w:cs="Times New Roman"/>
          <w:sz w:val="24"/>
          <w:szCs w:val="24"/>
        </w:rPr>
        <w:t xml:space="preserve"> лично</w:t>
      </w:r>
      <w:r w:rsidRPr="004A54CA">
        <w:rPr>
          <w:rFonts w:ascii="Times New Roman" w:hAnsi="Times New Roman" w:cs="Times New Roman"/>
          <w:sz w:val="24"/>
          <w:szCs w:val="24"/>
        </w:rPr>
        <w:t>; в него вошли циклы «Парабола», «Треугольная груша», «Антимиры» и «Не отрекусь», а также длинные поэмы «Мастера», «Лонжюмо» и «Оза». В основном эти произведения были сохранены целиком, за исключением длинных поэм, из которых были выбраны только фрагменты. Стихотворения образовали два раздела. В первом рассматривались причины духовного или физического упадка цивилизованного мира: разрушительные и дегуманизирующие элементы западной культуры («Рок-н-ролл», «Стриптиз»), самоубийство («Монолог Мэрилин Монро»), эксперименты и автоматизация («Оза»), насилие во имя прогресса («Бьют женщину», «Лобная баллада»). Во втором разделе в центре внимания были способы восприятия: иносказательноcть и прямота («Параболическая баллада»), абсолютный отказ от старого ради нового («Париж без рифм», «Римские праздники»), множественная идентичность и ее восприятие в экзистенциалистской философии («Я – семья…»). Если поэмы первой части — примеры кризиса гуманистических ценностей, то во второй части они предупреждали о дальнейших опасностях для человечества при слепом следовании прогрессу. Таким образом, концептуально время в спектакле игр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4A54CA">
        <w:rPr>
          <w:rFonts w:ascii="Times New Roman" w:hAnsi="Times New Roman" w:cs="Times New Roman"/>
          <w:sz w:val="24"/>
          <w:szCs w:val="24"/>
        </w:rPr>
        <w:t>о жизненно важную роль в мире, где господствует вечная гонка за прогрессом. Несмотря на возросшую скорость эволюции, человеческая жизнь состоит лишь из мгновений вечности и является тщетной.</w:t>
      </w:r>
    </w:p>
    <w:p w14:paraId="3C3882CD" w14:textId="52DF5480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>Тема «Антимиров» рассматривалась некоторыми советскими критиками как противостояние между капитализмом и социализмом, и это была та интерпретация, которой поэзия Вознесенского действительно поддавалась. Это позволило Вознесенскому довольно рано получить разрешение на выезд за границу, что почти наверняка помогло постановке пройти без серьезных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CC47A6" w14:textId="79F89777" w:rsidR="004A54CA" w:rsidRPr="004A54CA" w:rsidRDefault="004A54CA" w:rsidP="004A54C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54CA">
        <w:rPr>
          <w:rFonts w:ascii="Times New Roman" w:hAnsi="Times New Roman" w:cs="Times New Roman"/>
          <w:sz w:val="24"/>
          <w:szCs w:val="24"/>
        </w:rPr>
        <w:t xml:space="preserve">«Антимиры», однако, также исследовали конфликт в стихах Вознесенского между человеческими традициями и техническим прогрессом. Вознесенский не просто противопоставляет капиталистический и социалистический миры, чтобы определить один как плохой, а другой как хороший. В стихотворении «Париж без рифмы» было отмечено противоречие: актер стал оспаривать репутацию Парижа как уникальной столицы, утверждая, что на месте Парижа могла быть и Москва или Ленинград </w:t>
      </w:r>
      <w:r>
        <w:rPr>
          <w:rFonts w:ascii="Times New Roman" w:hAnsi="Times New Roman" w:cs="Times New Roman"/>
          <w:sz w:val="24"/>
          <w:szCs w:val="24"/>
        </w:rPr>
        <w:t>(2)</w:t>
      </w:r>
      <w:r w:rsidRPr="004A54CA">
        <w:rPr>
          <w:rFonts w:ascii="Times New Roman" w:hAnsi="Times New Roman" w:cs="Times New Roman"/>
          <w:sz w:val="24"/>
          <w:szCs w:val="24"/>
        </w:rPr>
        <w:t>. Контраст между старым и новым, человеческими и материальными ценностями символизировался на сцене изображением мадонны в стиле Рублева справа и космонавта слева; эти образы были показаны после пролога, когда они были разделены на половинки, а затем соединены так, чтобы половины разных фигур образовывали единое лицо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  <w:r w:rsidRPr="004A54CA">
        <w:rPr>
          <w:rFonts w:ascii="Times New Roman" w:hAnsi="Times New Roman" w:cs="Times New Roman"/>
          <w:sz w:val="24"/>
          <w:szCs w:val="24"/>
        </w:rPr>
        <w:t>. Традиция, соединенная с современной жизнью и прогрессом, стала преамбулой к постановке. Поэзия Вознесенского критически относится ко всему прогрессу, который пренебрегает человеческой жизнью: «Все прогрессы реакционны, если рушится человек» — такова была заключительная фраза постановки.</w:t>
      </w:r>
    </w:p>
    <w:p w14:paraId="3994BB21" w14:textId="3B978441" w:rsidR="00410F11" w:rsidRPr="00410F11" w:rsidRDefault="00410F11" w:rsidP="00410F11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972E787" w14:textId="77777777" w:rsidR="004A54CA" w:rsidRDefault="004A54CA" w:rsidP="004A54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6A8">
        <w:rPr>
          <w:rFonts w:ascii="Times New Roman" w:hAnsi="Times New Roman" w:cs="Times New Roman"/>
          <w:sz w:val="24"/>
          <w:szCs w:val="24"/>
        </w:rPr>
        <w:t>Хализев В.Е. Драма как род литературы (поэтика, генезис, функционирование). М.: Изд-во МГУ, 1986. С. 33</w:t>
      </w:r>
    </w:p>
    <w:p w14:paraId="78292558" w14:textId="77777777" w:rsidR="004A54CA" w:rsidRPr="004A54CA" w:rsidRDefault="004A54CA" w:rsidP="004A54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54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Vernita Mallard Batchelder, The Theatre Theory and Theatre Practice of Jurij Lyubimov: 1964–1971. Ann Arbor: UMI, 1978. P. 240</w:t>
      </w:r>
    </w:p>
    <w:p w14:paraId="281420CD" w14:textId="5D755539" w:rsidR="004A54CA" w:rsidRPr="004A54CA" w:rsidRDefault="004A54CA" w:rsidP="004A54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54CA">
        <w:rPr>
          <w:rFonts w:ascii="Times New Roman" w:hAnsi="Times New Roman" w:cs="Times New Roman"/>
          <w:sz w:val="24"/>
          <w:szCs w:val="24"/>
        </w:rPr>
        <w:t>РГАЛИ. Ф. 2485. Оп. 2. Ед. хр. 203. «Антимиры» — пьеса в 2 действиях А. А. Вознесенского.</w:t>
      </w:r>
    </w:p>
    <w:sectPr w:rsidR="004A54CA" w:rsidRPr="004A54CA" w:rsidSect="00FD61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310"/>
    <w:multiLevelType w:val="hybridMultilevel"/>
    <w:tmpl w:val="CA9654F6"/>
    <w:lvl w:ilvl="0" w:tplc="119E41F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7EB830D0"/>
    <w:multiLevelType w:val="hybridMultilevel"/>
    <w:tmpl w:val="CA9654F6"/>
    <w:lvl w:ilvl="0" w:tplc="119E41FC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00"/>
    <w:rsid w:val="00410F11"/>
    <w:rsid w:val="004A54CA"/>
    <w:rsid w:val="005E0915"/>
    <w:rsid w:val="0088526C"/>
    <w:rsid w:val="00CB5A40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C29"/>
  <w15:chartTrackingRefBased/>
  <w15:docId w15:val="{4A6C09EF-8845-4C33-ABE9-7F30C764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1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610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10F11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A54CA"/>
    <w:rPr>
      <w:vertAlign w:val="superscript"/>
    </w:rPr>
  </w:style>
  <w:style w:type="paragraph" w:styleId="a7">
    <w:name w:val="footnote text"/>
    <w:basedOn w:val="a"/>
    <w:link w:val="a8"/>
    <w:semiHidden/>
    <w:unhideWhenUsed/>
    <w:rsid w:val="004A54CA"/>
    <w:pPr>
      <w:spacing w:after="0" w:line="240" w:lineRule="auto"/>
    </w:pPr>
    <w:rPr>
      <w:sz w:val="28"/>
      <w:szCs w:val="28"/>
    </w:rPr>
  </w:style>
  <w:style w:type="character" w:customStyle="1" w:styleId="a8">
    <w:name w:val="Текст сноски Знак"/>
    <w:basedOn w:val="a0"/>
    <w:link w:val="a7"/>
    <w:semiHidden/>
    <w:rsid w:val="004A54C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_bazanova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Базанова Алла</dc:creator>
  <cp:keywords/>
  <dc:description/>
  <cp:lastModifiedBy>Алла Базанова Алла</cp:lastModifiedBy>
  <cp:revision>3</cp:revision>
  <dcterms:created xsi:type="dcterms:W3CDTF">2025-03-09T20:01:00Z</dcterms:created>
  <dcterms:modified xsi:type="dcterms:W3CDTF">2026-03-02T20:56:00Z</dcterms:modified>
</cp:coreProperties>
</file>