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5DE071" w14:textId="45E1B3E0" w:rsidR="00B15D10" w:rsidRDefault="00B15D10" w:rsidP="00B15D1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B15D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 игры к распаду: светло-темная модель мира в романе В. В. Набокова «Защита Лужина»</w:t>
      </w:r>
    </w:p>
    <w:p w14:paraId="69A3CB7F" w14:textId="747FA123" w:rsidR="00B15D10" w:rsidRDefault="00B15D10" w:rsidP="00B15D10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Громова Елизавета Алексеевна</w:t>
      </w:r>
    </w:p>
    <w:p w14:paraId="73682289" w14:textId="2A02D681" w:rsidR="00B15D10" w:rsidRPr="00B15D10" w:rsidRDefault="00B15D10" w:rsidP="00B15D10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Студентка Московского государственного университета имени М. В. Ломоносова, Москва, Россия</w:t>
      </w:r>
    </w:p>
    <w:p w14:paraId="00000001" w14:textId="5DB71AA0" w:rsidR="00006476" w:rsidRDefault="00000000" w:rsidP="000A1C42">
      <w:pPr>
        <w:adjustRightInd w:val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Роман В. В. Набокова «Защита Лужина» занимает особое место в</w:t>
      </w:r>
      <w:r w:rsidR="000A1C4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русской литературе XX века как произведение, в котором художественный мир выстраивается вокруг специфического типа сознания героя. Центральной особенностью этого мира становится игровая логика, определяющая не только профессиональную сферу Лужина, но и способы его восприятия действительности. Шахматы функционируют как универсальная модель мышления, подменяющая собой реальность и формирующая замкнутую систему координат, внутри которой разворачивается сюжет [Набоков]. В работе предлагается рассмотреть роман через призму светло-т</w:t>
      </w:r>
      <w:r w:rsidR="00B15D1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мной модели мира, где свет и тьма выступают не как традиционные этические оппозиции, а как различные режимы организации сознания и опыта. Светлая зона связана с абстрактной рациональностью, логикой игры и иллюзией контроля, тогда как т</w:t>
      </w:r>
      <w:r w:rsidR="00B15D1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мное начало воплощает телесность, эмоциональность и вторжение неконтролируемой жизненной реальности [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Дьячковска</w:t>
      </w:r>
      <w:proofErr w:type="spellEnd"/>
      <w:r w:rsidR="00B15D10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>: 88–92]. Подобное противопоставление позволяет выявить внутреннюю напряж</w:t>
      </w:r>
      <w:r w:rsidR="00B15D1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нность художественного мира и проследить механизм постепенного распада личности героя.</w:t>
      </w:r>
    </w:p>
    <w:p w14:paraId="00000002" w14:textId="0C5F0966" w:rsidR="00006476" w:rsidRDefault="00000000" w:rsidP="000A1C42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Теоретической основой анализа служит классификация художественных текстов В. П. Белянина, в рамках которой «Защита Лужина» может быть отнесена к </w:t>
      </w:r>
      <w:r w:rsidR="00B15D1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светло-темным текстам.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таких </w:t>
      </w:r>
      <w:r w:rsidR="00B15D10">
        <w:rPr>
          <w:rFonts w:ascii="Times New Roman" w:eastAsia="Times New Roman" w:hAnsi="Times New Roman" w:cs="Times New Roman"/>
          <w:sz w:val="28"/>
          <w:szCs w:val="28"/>
          <w:lang w:val="ru-RU"/>
        </w:rPr>
        <w:t>произведений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характерно доминирование замкнутой когнитивной модели, определяющей не только структуру повествования, но и способы репрезентации сознания персонажа [Белянин: 113–118]. Применение данной типологии позволяет связать особенности художественной организации романа с трагической логикой судьбы главного героя.</w:t>
      </w:r>
    </w:p>
    <w:p w14:paraId="00000003" w14:textId="26FC0860" w:rsidR="00006476" w:rsidRDefault="00000000" w:rsidP="000A1C42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анализа показано, что игровая модель мира изначально выполняет компенсаторную функцию, обеспечивая Лужину ощущение порядка и защищ</w:t>
      </w:r>
      <w:r w:rsidR="00B15D1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нности. Однако по мере развития сюжета граница между игрой и жизнью размывается, а шахматная логика переста</w:t>
      </w:r>
      <w:r w:rsidR="00B15D1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быть источником устойчивости. Светлая сторона модели утрачивает нейтральность и начинает порождать тревогу, в то время как т</w:t>
      </w:r>
      <w:r w:rsidR="00B15D1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мное начало, ранее вытесненное, вс</w:t>
      </w:r>
      <w:r w:rsidR="00B15D1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активнее вторгается в сознание героя [Стрельников</w:t>
      </w:r>
      <w:r w:rsidR="00B15D10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: 43–46]. Особое внимание уделяется моменту нарушения игровой гармонии, когда игра переста</w:t>
      </w:r>
      <w:r w:rsidR="00B15D1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 быть ограниченной пространством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доски и начинает проецироваться на повседневную реальность. Это приводит к утрате целостности восприятия, усилению навязчивых состояний и постепенной дезинтеграции сознания [Полев</w:t>
      </w:r>
      <w:r w:rsidR="00B15D10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: 34–38]. Свет и тьма перестают уравновешивать друг друга, формируя замкнутую систему, не допускающую выхода.</w:t>
      </w:r>
    </w:p>
    <w:p w14:paraId="00000004" w14:textId="5DAF0290" w:rsidR="00006476" w:rsidRPr="00B15D10" w:rsidRDefault="00000000" w:rsidP="000A1C42">
      <w:pPr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Финал романа интерпретируется как закономерный итог существования в рамках ж</w:t>
      </w:r>
      <w:r w:rsidR="00B15D1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сткой светло-т</w:t>
      </w:r>
      <w:r w:rsidR="00B15D10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мной модели мира. Распад личности Лужина предстает следствием абсолютизации абстрактной рациональности и отказа от многомерности жизненного опыта. В этом контексте роман Набокова раскрывается как художественное осмысление пределов игровой логики и опасности подмены реальности замкнутой интеллектуальной схемой</w:t>
      </w:r>
      <w:r w:rsidR="00B15D10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05" w14:textId="440B3F0A" w:rsidR="00006476" w:rsidRDefault="00691ACF" w:rsidP="00B15D1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GB"/>
        </w:rPr>
        <w:tab/>
      </w:r>
      <w:r w:rsidRPr="00691AC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Литература</w:t>
      </w:r>
    </w:p>
    <w:p w14:paraId="14320BF2" w14:textId="77777777" w:rsidR="00691ACF" w:rsidRPr="00691ACF" w:rsidRDefault="00691ACF" w:rsidP="00691ACF">
      <w:pPr>
        <w:pStyle w:val="a6"/>
        <w:numPr>
          <w:ilvl w:val="0"/>
          <w:numId w:val="2"/>
        </w:numPr>
        <w:autoSpaceDE w:val="0"/>
        <w:autoSpaceDN w:val="0"/>
        <w:adjustRightInd w:val="0"/>
        <w:spacing w:before="0" w:after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Набоков В. В. Защита </w:t>
      </w:r>
      <w:proofErr w:type="gramStart"/>
      <w:r w:rsidRPr="00691ACF">
        <w:rPr>
          <w:rFonts w:ascii="Times New Roman" w:hAnsi="Times New Roman" w:cs="Times New Roman"/>
          <w:sz w:val="28"/>
          <w:szCs w:val="28"/>
          <w:lang w:val="ru-RU"/>
        </w:rPr>
        <w:t>Лужина :</w:t>
      </w:r>
      <w:proofErr w:type="gram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роман / Владимир Набоков. — </w:t>
      </w:r>
      <w:proofErr w:type="gramStart"/>
      <w:r w:rsidRPr="00691ACF">
        <w:rPr>
          <w:rFonts w:ascii="Times New Roman" w:hAnsi="Times New Roman" w:cs="Times New Roman"/>
          <w:sz w:val="28"/>
          <w:szCs w:val="28"/>
          <w:lang w:val="ru-RU"/>
        </w:rPr>
        <w:t>М. :</w:t>
      </w:r>
      <w:proofErr w:type="gram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Издательство АСТ : CORPUS, 2025. – 288 с. (Набоковский корпус)</w:t>
      </w:r>
    </w:p>
    <w:p w14:paraId="5F00FA0F" w14:textId="70C60258" w:rsidR="00691ACF" w:rsidRPr="00691ACF" w:rsidRDefault="00691ACF" w:rsidP="00691ACF">
      <w:pPr>
        <w:pStyle w:val="a6"/>
        <w:numPr>
          <w:ilvl w:val="0"/>
          <w:numId w:val="2"/>
        </w:numPr>
        <w:autoSpaceDE w:val="0"/>
        <w:autoSpaceDN w:val="0"/>
        <w:adjustRightInd w:val="0"/>
        <w:spacing w:before="0" w:after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691ACF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691ACF">
        <w:rPr>
          <w:rFonts w:ascii="Times New Roman" w:hAnsi="Times New Roman" w:cs="Times New Roman"/>
          <w:sz w:val="28"/>
          <w:szCs w:val="28"/>
          <w:lang w:val="ru-RU"/>
        </w:rPr>
        <w:t>елянин</w:t>
      </w:r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В.П. В</w:t>
      </w:r>
      <w:r w:rsidRPr="00691ACF">
        <w:rPr>
          <w:rFonts w:ascii="Times New Roman" w:hAnsi="Times New Roman" w:cs="Times New Roman"/>
          <w:sz w:val="28"/>
          <w:szCs w:val="28"/>
          <w:lang w:val="ru-RU"/>
        </w:rPr>
        <w:t>ведение</w:t>
      </w:r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91AC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91ACF">
        <w:rPr>
          <w:rFonts w:ascii="Times New Roman" w:hAnsi="Times New Roman" w:cs="Times New Roman"/>
          <w:sz w:val="28"/>
          <w:szCs w:val="28"/>
          <w:lang w:val="ru-RU"/>
        </w:rPr>
        <w:t>психиатрическое литературоведение</w:t>
      </w:r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. -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München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Sagner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>, 1996. - (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Specimina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Philologiae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Slavicae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/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Hrsg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Von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Horbatsch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O.,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Freidnof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G.,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Kosta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P.). -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Bd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107.- 281 S.</w:t>
      </w:r>
    </w:p>
    <w:p w14:paraId="438605AA" w14:textId="77777777" w:rsidR="00691ACF" w:rsidRPr="00691ACF" w:rsidRDefault="00691ACF" w:rsidP="00691ACF">
      <w:pPr>
        <w:pStyle w:val="a6"/>
        <w:numPr>
          <w:ilvl w:val="0"/>
          <w:numId w:val="2"/>
        </w:numPr>
        <w:autoSpaceDE w:val="0"/>
        <w:autoSpaceDN w:val="0"/>
        <w:adjustRightInd w:val="0"/>
        <w:spacing w:before="0" w:after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Дьячковская Л. Е. Свет, цвет, звук и граница миров в романе «Защита Лужина» // В. В. Набоков: Pro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et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соntга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>. СПб., 2002. Т. 2.</w:t>
      </w:r>
    </w:p>
    <w:p w14:paraId="6B4F727C" w14:textId="251AEFF6" w:rsidR="00691ACF" w:rsidRPr="00691ACF" w:rsidRDefault="00691ACF" w:rsidP="00691ACF">
      <w:pPr>
        <w:pStyle w:val="a6"/>
        <w:numPr>
          <w:ilvl w:val="0"/>
          <w:numId w:val="2"/>
        </w:numPr>
        <w:autoSpaceDE w:val="0"/>
        <w:autoSpaceDN w:val="0"/>
        <w:adjustRightInd w:val="0"/>
        <w:spacing w:before="0" w:after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Стрельникова </w:t>
      </w:r>
      <w:r w:rsidRPr="00691ACF">
        <w:rPr>
          <w:rFonts w:ascii="Times New Roman" w:hAnsi="Times New Roman" w:cs="Times New Roman"/>
          <w:sz w:val="28"/>
          <w:szCs w:val="28"/>
          <w:lang w:val="ru-RU"/>
        </w:rPr>
        <w:t>Л. Ю.</w:t>
      </w:r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Роман В. В. Набокова «Защита Лужина» как игровая модель шахматной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гиперреальности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// Вестник СПбГУ. Язык и литература. 2015. №1. URL: https://cyberleninka.ru/article/n/roman-v-v-nabokova-zaschita-luzhina-kak-igrovaya-model-shahmatnoy-giperrealnosti (дата обращения: 06.02.2026).</w:t>
      </w:r>
    </w:p>
    <w:p w14:paraId="01092BB3" w14:textId="30128584" w:rsidR="00691ACF" w:rsidRPr="00691ACF" w:rsidRDefault="00691ACF" w:rsidP="00691ACF">
      <w:pPr>
        <w:pStyle w:val="a6"/>
        <w:numPr>
          <w:ilvl w:val="0"/>
          <w:numId w:val="2"/>
        </w:numPr>
        <w:autoSpaceDE w:val="0"/>
        <w:autoSpaceDN w:val="0"/>
        <w:adjustRightInd w:val="0"/>
        <w:spacing w:before="0" w:after="0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691ACF">
        <w:rPr>
          <w:rFonts w:ascii="Times New Roman" w:hAnsi="Times New Roman" w:cs="Times New Roman"/>
          <w:sz w:val="28"/>
          <w:szCs w:val="28"/>
          <w:lang w:val="ru-RU"/>
        </w:rPr>
        <w:t>Полева Е. А. Мотив исчезновения в романе В. В. Набокова «Защита Лужина</w:t>
      </w:r>
      <w:r w:rsidRPr="00691ACF">
        <w:rPr>
          <w:rFonts w:ascii="Times New Roman" w:hAnsi="Times New Roman" w:cs="Times New Roman"/>
          <w:sz w:val="28"/>
          <w:szCs w:val="28"/>
          <w:lang w:val="ru-RU"/>
        </w:rPr>
        <w:t>»:</w:t>
      </w:r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автореф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691ACF">
        <w:rPr>
          <w:rFonts w:ascii="Times New Roman" w:hAnsi="Times New Roman" w:cs="Times New Roman"/>
          <w:sz w:val="28"/>
          <w:szCs w:val="28"/>
          <w:lang w:val="ru-RU"/>
        </w:rPr>
        <w:t>дис</w:t>
      </w:r>
      <w:proofErr w:type="spellEnd"/>
      <w:r w:rsidRPr="00691ACF">
        <w:rPr>
          <w:rFonts w:ascii="Times New Roman" w:hAnsi="Times New Roman" w:cs="Times New Roman"/>
          <w:sz w:val="28"/>
          <w:szCs w:val="28"/>
          <w:lang w:val="ru-RU"/>
        </w:rPr>
        <w:t>. … канд. филол. наук. — Томск, 2008. — 24 с.</w:t>
      </w:r>
    </w:p>
    <w:p w14:paraId="00000006" w14:textId="77777777" w:rsidR="00006476" w:rsidRDefault="00006476" w:rsidP="00B15D10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006476" w:rsidSect="00B15D10">
      <w:pgSz w:w="11909" w:h="16834"/>
      <w:pgMar w:top="1134" w:right="1418" w:bottom="1134" w:left="1418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53D92B11-EECD-744B-85C9-7245D8A53C05}"/>
    <w:embedBold r:id="rId2" w:fontKey="{1FC24D01-5DB3-A641-A7B1-69EC00A32B4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E514A98F-E23B-CB44-B09A-1D72C72A1075}"/>
    <w:embedItalic r:id="rId4" w:fontKey="{0B84EE23-3128-0446-8FBB-1F28C98921E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432DB50D-0AB1-F24B-B402-B827CC1620F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0E96A75-BB7C-F749-91EB-C5B3186EE3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4868C0"/>
    <w:multiLevelType w:val="hybridMultilevel"/>
    <w:tmpl w:val="D0A4D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FF4852"/>
    <w:multiLevelType w:val="hybridMultilevel"/>
    <w:tmpl w:val="548E1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045094">
    <w:abstractNumId w:val="1"/>
  </w:num>
  <w:num w:numId="2" w16cid:durableId="1994333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476"/>
    <w:rsid w:val="00006476"/>
    <w:rsid w:val="000A1C42"/>
    <w:rsid w:val="002D2247"/>
    <w:rsid w:val="00385A90"/>
    <w:rsid w:val="00626F09"/>
    <w:rsid w:val="00691ACF"/>
    <w:rsid w:val="00A76AA0"/>
    <w:rsid w:val="00B1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75E54"/>
  <w15:docId w15:val="{55C4101B-C832-D546-838B-A85D91D60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before="240"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0" w:after="320"/>
    </w:pPr>
    <w:rPr>
      <w:color w:val="666666"/>
      <w:sz w:val="30"/>
      <w:szCs w:val="30"/>
    </w:rPr>
  </w:style>
  <w:style w:type="paragraph" w:styleId="a5">
    <w:name w:val="Revision"/>
    <w:hidden/>
    <w:uiPriority w:val="99"/>
    <w:semiHidden/>
    <w:rsid w:val="00B15D10"/>
  </w:style>
  <w:style w:type="paragraph" w:styleId="a6">
    <w:name w:val="List Paragraph"/>
    <w:basedOn w:val="a"/>
    <w:uiPriority w:val="34"/>
    <w:qFormat/>
    <w:rsid w:val="00691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83A0EA-A87E-A344-A2F4-442AA2E2B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Елизавета Громова</cp:lastModifiedBy>
  <cp:revision>3</cp:revision>
  <dcterms:created xsi:type="dcterms:W3CDTF">2026-02-07T12:12:00Z</dcterms:created>
  <dcterms:modified xsi:type="dcterms:W3CDTF">2026-02-12T20:17:00Z</dcterms:modified>
</cp:coreProperties>
</file>