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B66C1">
      <w:pPr>
        <w:pStyle w:val="5"/>
        <w:widowControl/>
        <w:shd w:val="clear" w:color="auto" w:fill="FFFFFF"/>
        <w:spacing w:beforeAutospacing="0" w:after="100" w:afterAutospacing="0"/>
        <w:jc w:val="center"/>
        <w:rPr>
          <w:rStyle w:val="10"/>
          <w:rFonts w:ascii="Times New Roman" w:hAnsi="Times New Roman" w:eastAsia="宋体"/>
          <w:b/>
          <w:bCs/>
          <w:i w:val="0"/>
          <w:shd w:val="clear" w:color="auto" w:fill="FFFFFF"/>
          <w:lang w:val="ru-RU"/>
        </w:rPr>
      </w:pPr>
      <w:r>
        <w:rPr>
          <w:rStyle w:val="10"/>
          <w:rFonts w:ascii="Times New Roman" w:hAnsi="Times New Roman" w:eastAsia="宋体"/>
          <w:b/>
          <w:bCs/>
          <w:i w:val="0"/>
          <w:shd w:val="clear" w:color="auto" w:fill="FFFFFF"/>
          <w:lang w:val="ru-RU"/>
        </w:rPr>
        <w:t>Замятинские «строптивицы» и «бунтарки»: к вопросу о женских образах в раннем творчестве Е. Замятина</w:t>
      </w:r>
    </w:p>
    <w:p w14:paraId="0351C618">
      <w:pPr>
        <w:pStyle w:val="5"/>
        <w:widowControl/>
        <w:shd w:val="clear" w:color="auto" w:fill="FFFFFF"/>
        <w:spacing w:beforeAutospacing="0" w:after="100" w:afterAutospacing="0"/>
        <w:jc w:val="center"/>
        <w:rPr>
          <w:rStyle w:val="10"/>
          <w:rFonts w:ascii="Times New Roman" w:hAnsi="Times New Roman" w:eastAsia="Arial"/>
          <w:i w:val="0"/>
          <w:shd w:val="clear" w:color="auto" w:fill="FFFFFF"/>
          <w:lang w:val="ru-RU"/>
        </w:rPr>
      </w:pPr>
      <w:r>
        <w:rPr>
          <w:rStyle w:val="10"/>
          <w:rFonts w:ascii="Times New Roman" w:hAnsi="Times New Roman" w:eastAsia="Arial"/>
          <w:i w:val="0"/>
          <w:shd w:val="clear" w:color="auto" w:fill="FFFFFF"/>
          <w:lang w:val="ru-RU"/>
        </w:rPr>
        <w:t>Сунь Имань</w:t>
      </w:r>
    </w:p>
    <w:p w14:paraId="7329413C">
      <w:pPr>
        <w:pStyle w:val="5"/>
        <w:widowControl/>
        <w:shd w:val="clear" w:color="auto" w:fill="FFFFFF"/>
        <w:spacing w:beforeAutospacing="0" w:after="100" w:afterAutospacing="0"/>
        <w:jc w:val="center"/>
        <w:rPr>
          <w:rFonts w:ascii="Times New Roman" w:hAnsi="Times New Roman" w:eastAsia="Arial"/>
          <w:lang w:val="ru-RU"/>
        </w:rPr>
      </w:pPr>
      <w:r>
        <w:rPr>
          <w:rStyle w:val="10"/>
          <w:rFonts w:ascii="Times New Roman" w:hAnsi="Times New Roman" w:eastAsia="Arial"/>
          <w:i w:val="0"/>
          <w:shd w:val="clear" w:color="auto" w:fill="FFFFFF"/>
          <w:lang w:val="ru-RU"/>
        </w:rPr>
        <w:t>Аспирант</w:t>
      </w:r>
      <w:r>
        <w:rPr>
          <w:rStyle w:val="10"/>
          <w:rFonts w:hint="eastAsia" w:ascii="Times New Roman" w:hAnsi="Times New Roman" w:eastAsia="宋体"/>
          <w:i w:val="0"/>
          <w:shd w:val="clear" w:color="auto" w:fill="FFFFFF"/>
          <w:lang w:val="ru-RU"/>
        </w:rPr>
        <w:t xml:space="preserve"> </w:t>
      </w:r>
      <w:r>
        <w:rPr>
          <w:rStyle w:val="10"/>
          <w:rFonts w:ascii="Times New Roman" w:hAnsi="Times New Roman" w:eastAsia="Arial"/>
          <w:i w:val="0"/>
          <w:shd w:val="clear" w:color="auto" w:fill="FFFFFF"/>
          <w:lang w:val="ru-RU"/>
        </w:rPr>
        <w:t>Московского государственного университета имени М.В.Ломоносова, Москва, Россия</w:t>
      </w:r>
    </w:p>
    <w:p w14:paraId="10B895AF">
      <w:pPr>
        <w:pStyle w:val="5"/>
        <w:widowControl/>
        <w:shd w:val="clear" w:color="auto" w:fill="FFFFFF"/>
        <w:spacing w:beforeAutospacing="0" w:after="100" w:afterAutospacing="0"/>
        <w:jc w:val="center"/>
        <w:rPr>
          <w:rFonts w:ascii="Times New Roman" w:hAnsi="Times New Roman" w:eastAsia="宋体"/>
          <w:kern w:val="18"/>
        </w:rPr>
      </w:pPr>
      <w:r>
        <w:rPr>
          <w:rStyle w:val="10"/>
          <w:rFonts w:ascii="Times New Roman" w:hAnsi="Times New Roman" w:eastAsia="Arial"/>
          <w:i w:val="0"/>
          <w:shd w:val="clear" w:color="auto" w:fill="FFFFFF"/>
        </w:rPr>
        <w:t xml:space="preserve">E–mail: </w:t>
      </w:r>
      <w:r>
        <w:rPr>
          <w:rStyle w:val="10"/>
          <w:rFonts w:ascii="Times New Roman" w:hAnsi="Times New Roman" w:eastAsia="宋体"/>
          <w:i w:val="0"/>
          <w:shd w:val="clear" w:color="auto" w:fill="FFFFFF"/>
        </w:rPr>
        <w:t>sym02005@bfsu.edu.cn</w:t>
      </w:r>
    </w:p>
    <w:p w14:paraId="145320EF">
      <w:pPr>
        <w:ind w:firstLine="709"/>
        <w:rPr>
          <w:rFonts w:ascii="Times New Roman" w:hAnsi="Times New Roman" w:eastAsia="宋体" w:cs="Times New Roman"/>
          <w:kern w:val="18"/>
          <w:sz w:val="24"/>
          <w:lang w:val="ru-RU"/>
        </w:rPr>
      </w:pPr>
      <w:r>
        <w:rPr>
          <w:rFonts w:ascii="Times New Roman" w:hAnsi="Times New Roman" w:eastAsia="宋体" w:cs="Times New Roman"/>
          <w:kern w:val="18"/>
          <w:sz w:val="24"/>
          <w:lang w:val="ru-RU"/>
        </w:rPr>
        <w:t xml:space="preserve">В русской культуре обобщенные представления об «идеальных» героинях писателей-классиков утвердились в качестве прецедентных имен или образов («тургеневская барышня», «некрасовская женщина» и т.п.). Философская и поэтическая мысль начала ХХ века закрепила в массовом сознании образы Прекрасной дамы и Незнакомки Блока, в которых по-разному преломились представления художника о соловьевской Софии и Вечной женственности. Разумеется, имена далеко не всех героинь стали нарицательными, однако нельзя отрицать тот факт, что в сознании читателей живут некие общие представления о героинях (или обобщенном образе героини) Бунина, Куприна и др. – при том, что в их творчестве наблюдается разнообразие женских типов и характеров.  </w:t>
      </w:r>
    </w:p>
    <w:p w14:paraId="542339CE">
      <w:pPr>
        <w:ind w:firstLine="709"/>
        <w:rPr>
          <w:rFonts w:ascii="Times New Roman" w:hAnsi="Times New Roman" w:eastAsia="宋体" w:cs="Times New Roman"/>
          <w:kern w:val="18"/>
          <w:sz w:val="24"/>
          <w:lang w:val="ru-RU"/>
        </w:rPr>
      </w:pPr>
      <w:r>
        <w:rPr>
          <w:rFonts w:ascii="Times New Roman" w:hAnsi="Times New Roman" w:eastAsia="宋体" w:cs="Times New Roman"/>
          <w:kern w:val="18"/>
          <w:sz w:val="24"/>
          <w:lang w:val="ru-RU"/>
        </w:rPr>
        <w:t>Думается, можно обнаружить и некие инвариантные черты в женских образах Е. Замятина – писателя, который именовал себя еретиком. Бунтарский дух Замятина проявляется не только в том, что он наделяет им и своих героинь, но и в том, что он подвергает пародийному переосмыслению «святая святых» русской культуры – те свойства женской натуры, которые традиционно подавались как «идеальные», – смирение, кротость, преобладание духовного над плотским, телесным. Замятин «переворачивает» традиционную систему ценностей, создавая образы строптивиц, которые восхищают его смелостью, страстностью, а также – не в последнюю очередь – чувственностью, которая может сочетаться как с телесной мощью, так и с хрупкостью, грацией. Сопоставление с животными или неодушевленными предметами (часто за счет некоей «геометризации» облика) может служить не только снижению, но и поэтизации образа. Так, зооморфные характеристики – «мышонок», «дикая коза», «пушистый зверёк»</w:t>
      </w:r>
      <w:r>
        <w:rPr>
          <w:rFonts w:hint="eastAsia" w:ascii="Times New Roman" w:hAnsi="Times New Roman" w:eastAsia="宋体" w:cs="Times New Roman"/>
          <w:kern w:val="18"/>
          <w:sz w:val="24"/>
          <w:lang w:val="ru-RU"/>
        </w:rPr>
        <w:t xml:space="preserve"> [</w:t>
      </w:r>
      <w:r>
        <w:rPr>
          <w:rFonts w:ascii="Times New Roman" w:hAnsi="Times New Roman" w:eastAsia="宋体" w:cs="Times New Roman"/>
          <w:kern w:val="18"/>
          <w:sz w:val="24"/>
          <w:lang w:val="ru-RU"/>
        </w:rPr>
        <w:t>Замятин 2003: 147</w:t>
      </w:r>
      <w:r>
        <w:rPr>
          <w:rFonts w:hint="eastAsia" w:ascii="Times New Roman" w:hAnsi="Times New Roman" w:eastAsia="宋体" w:cs="Times New Roman"/>
          <w:kern w:val="18"/>
          <w:sz w:val="24"/>
          <w:lang w:val="ru-RU"/>
        </w:rPr>
        <w:t xml:space="preserve">] </w:t>
      </w:r>
      <w:r>
        <w:rPr>
          <w:rFonts w:ascii="Times New Roman" w:hAnsi="Times New Roman" w:eastAsia="宋体" w:cs="Times New Roman"/>
          <w:kern w:val="18"/>
          <w:sz w:val="24"/>
          <w:lang w:val="ru-RU"/>
        </w:rPr>
        <w:t>в повести «На куличках» – выступают как внешняя проекция душевных состояний хрупкости и беззащитности Маруси. «Змеиное тело» и «ворон на белом снегу»</w:t>
      </w:r>
      <w:r>
        <w:rPr>
          <w:rFonts w:hint="eastAsia" w:ascii="Times New Roman" w:hAnsi="Times New Roman" w:eastAsia="宋体" w:cs="Times New Roman"/>
          <w:kern w:val="18"/>
          <w:sz w:val="24"/>
          <w:lang w:val="ru-RU"/>
        </w:rPr>
        <w:t xml:space="preserve"> [</w:t>
      </w:r>
      <w:r>
        <w:rPr>
          <w:rFonts w:ascii="Times New Roman" w:hAnsi="Times New Roman" w:eastAsia="宋体" w:cs="Times New Roman"/>
          <w:kern w:val="18"/>
          <w:sz w:val="24"/>
          <w:lang w:val="ru-RU"/>
        </w:rPr>
        <w:t>Там же: 69–72</w:t>
      </w:r>
      <w:r>
        <w:rPr>
          <w:rFonts w:hint="eastAsia" w:ascii="Times New Roman" w:hAnsi="Times New Roman" w:eastAsia="宋体" w:cs="Times New Roman"/>
          <w:kern w:val="18"/>
          <w:sz w:val="24"/>
          <w:lang w:val="ru-RU"/>
        </w:rPr>
        <w:t>]</w:t>
      </w:r>
      <w:r>
        <w:rPr>
          <w:rFonts w:ascii="Times New Roman" w:hAnsi="Times New Roman" w:eastAsia="宋体" w:cs="Times New Roman"/>
          <w:kern w:val="18"/>
          <w:sz w:val="24"/>
          <w:lang w:val="ru-RU"/>
        </w:rPr>
        <w:t xml:space="preserve"> в «Девушке» – экстериоризированное проявление любовного томления, ведущего к падению героини. В повести «Алатырь» превалирующее в героине чувственное начало, казалось бы, подвергается снижению, о чем свидетельствует такое ее именование, как «собачея»</w:t>
      </w:r>
      <w:r>
        <w:rPr>
          <w:rFonts w:hint="eastAsia" w:ascii="Times New Roman" w:hAnsi="Times New Roman" w:eastAsia="宋体" w:cs="Times New Roman"/>
          <w:kern w:val="18"/>
          <w:sz w:val="24"/>
          <w:lang w:val="ru-RU"/>
        </w:rPr>
        <w:t xml:space="preserve"> [</w:t>
      </w:r>
      <w:r>
        <w:rPr>
          <w:rFonts w:ascii="Times New Roman" w:hAnsi="Times New Roman" w:eastAsia="宋体" w:cs="Times New Roman"/>
          <w:kern w:val="18"/>
          <w:sz w:val="24"/>
          <w:lang w:val="ru-RU"/>
        </w:rPr>
        <w:t>Там же: 274</w:t>
      </w:r>
      <w:r>
        <w:rPr>
          <w:rFonts w:hint="eastAsia" w:ascii="Times New Roman" w:hAnsi="Times New Roman" w:eastAsia="宋体" w:cs="Times New Roman"/>
          <w:kern w:val="18"/>
          <w:sz w:val="24"/>
          <w:lang w:val="ru-RU"/>
        </w:rPr>
        <w:t>]</w:t>
      </w:r>
      <w:r>
        <w:rPr>
          <w:rFonts w:ascii="Times New Roman" w:hAnsi="Times New Roman" w:eastAsia="宋体" w:cs="Times New Roman"/>
          <w:kern w:val="18"/>
          <w:sz w:val="24"/>
          <w:lang w:val="ru-RU"/>
        </w:rPr>
        <w:t>, однако сопутствующие ее образу мотивы луны, ночи выявляют ее естественную, земную чувственность, создавая своеобразный «природно-телесный код» и формируя фольклорно-мифологическую картину мира.</w:t>
      </w:r>
    </w:p>
    <w:p w14:paraId="666D6A87">
      <w:pPr>
        <w:ind w:firstLine="709"/>
        <w:rPr>
          <w:rFonts w:ascii="Times New Roman" w:hAnsi="Times New Roman" w:eastAsia="宋体" w:cs="Times New Roman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kern w:val="18"/>
          <w:sz w:val="24"/>
          <w:lang w:val="ru-RU"/>
        </w:rPr>
        <w:t>Замятинский психологизм, направленный на выявление особенностей женской психики, позволяет увидеть архетипические, «пиковые» моменты, связанные со страхом утраты ребенка, с жаждой материнства</w:t>
      </w:r>
      <w:r>
        <w:rPr>
          <w:rFonts w:hint="eastAsia" w:ascii="Times New Roman" w:hAnsi="Times New Roman" w:eastAsia="宋体" w:cs="Times New Roman"/>
          <w:kern w:val="18"/>
          <w:sz w:val="24"/>
          <w:lang w:val="ru-RU"/>
        </w:rPr>
        <w:t xml:space="preserve"> </w:t>
      </w:r>
      <w:r>
        <w:rPr>
          <w:rFonts w:ascii="Times New Roman" w:hAnsi="Times New Roman" w:eastAsia="宋体" w:cs="Times New Roman"/>
          <w:kern w:val="18"/>
          <w:sz w:val="24"/>
          <w:lang w:val="ru-RU"/>
        </w:rPr>
        <w:t>и стремлением к телесной зрелости. Так, судьба Афимьи в рассказе «Чрево»</w:t>
      </w: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 xml:space="preserve"> представлена такими «этапами», как прелюбодеяние → беременность → потеря беременности → преступление. </w:t>
      </w:r>
      <w:bookmarkStart w:id="0" w:name="_GoBack"/>
      <w:bookmarkEnd w:id="0"/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>Можно предположить, что столь пристальное внимание Замятина к проблемам материнства во многом предопределено жизненным опытом писателя и, вероятно, проекцией его личной трагедии (отсутствием детей)</w:t>
      </w:r>
      <w:r>
        <w:rPr>
          <w:rFonts w:hint="eastAsia" w:ascii="Times New Roman" w:hAnsi="Times New Roman" w:eastAsia="宋体" w:cs="Times New Roman"/>
          <w:kern w:val="0"/>
          <w:sz w:val="24"/>
          <w:lang w:val="ru-RU" w:bidi="ar"/>
        </w:rPr>
        <w:t xml:space="preserve"> [Cavendish</w:t>
      </w: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 xml:space="preserve"> 2000: 739</w:t>
      </w:r>
      <w:r>
        <w:rPr>
          <w:rFonts w:hint="eastAsia" w:ascii="Times New Roman" w:hAnsi="Times New Roman" w:eastAsia="宋体" w:cs="Times New Roman"/>
          <w:kern w:val="0"/>
          <w:sz w:val="24"/>
          <w:lang w:val="ru-RU" w:bidi="ar"/>
        </w:rPr>
        <w:t>]</w:t>
      </w: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 xml:space="preserve">. </w:t>
      </w:r>
    </w:p>
    <w:p w14:paraId="0E9C9CF4">
      <w:pPr>
        <w:ind w:firstLine="709"/>
        <w:rPr>
          <w:rFonts w:ascii="Times New Roman" w:hAnsi="Times New Roman" w:eastAsia="宋体" w:cs="Times New Roman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kern w:val="18"/>
          <w:sz w:val="24"/>
          <w:lang w:val="ru-RU"/>
        </w:rPr>
        <w:t xml:space="preserve">При этом Замятин отдает предпочтение косвенному психологизму, редко прибегая к внутреннему монологу или технике потока сознания, в результате чего внутренний мир женщины, как правило, остается не до конца открытым для читателя. На наш взгляд, в таком подходе проявляется не только деликатность писателя, но и его стремление к поэтизации женщины, которая всегда в той или иной степени остается загадкой для мужчины (и даже для художника слова).  </w:t>
      </w: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 xml:space="preserve"> </w:t>
      </w:r>
    </w:p>
    <w:p w14:paraId="293E034D">
      <w:pPr>
        <w:ind w:firstLine="709"/>
        <w:rPr>
          <w:rFonts w:ascii="Times New Roman" w:hAnsi="Times New Roman" w:eastAsia="宋体" w:cs="Times New Roman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>Интересно, что последовательному снижению подвергается, как правило, не сугубо женское, но то, что противоречит женской природе. Так, в отношениях Чеботарихи и Барыбы наблюдается инверсия традиционной патриархальной (точнее – патриархатной, или андроцентрической) структуры: Замятин «вписывает» мужские начала в женский образ, что, как нам кажется, иронически отсылает читателя к категории</w:t>
      </w:r>
      <w:r>
        <w:rPr>
          <w:rFonts w:hint="eastAsia" w:ascii="Times New Roman" w:hAnsi="Times New Roman" w:eastAsia="宋体" w:cs="Times New Roman"/>
          <w:kern w:val="0"/>
          <w:sz w:val="24"/>
          <w:lang w:val="ru-RU" w:bidi="ar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 xml:space="preserve">«Вечной женственности».   </w:t>
      </w:r>
    </w:p>
    <w:p w14:paraId="4B115F76">
      <w:pPr>
        <w:ind w:firstLine="709"/>
        <w:rPr>
          <w:rFonts w:ascii="Times New Roman" w:hAnsi="Times New Roman" w:eastAsia="宋体" w:cs="Times New Roman"/>
          <w:kern w:val="0"/>
          <w:sz w:val="24"/>
          <w:lang w:val="ru-RU" w:bidi="ar"/>
        </w:rPr>
      </w:pP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 xml:space="preserve">Таким образом, уже на уровне рассмотрения ранних произведений писателя можно рассуждать об узнаваемом замятинском подходе к рассмотрению женской психики и к способам изображения женских характеров. Приемы, освоенные писателем в малой прозе, получат законченное выражение в романе «Мы» и пьесах 1920-х гг. И даже если в русской литературе не утвердится представление о «замятинской героине», сложно игнорировать наличие узнаваемых черт в образах героинь Е. Замятина. </w:t>
      </w:r>
    </w:p>
    <w:p w14:paraId="74881E6F">
      <w:pPr>
        <w:ind w:firstLine="397"/>
        <w:rPr>
          <w:rFonts w:ascii="Times New Roman" w:hAnsi="Times New Roman" w:eastAsia="宋体" w:cs="Times New Roman"/>
          <w:color w:val="000000"/>
          <w:kern w:val="0"/>
          <w:sz w:val="24"/>
          <w:lang w:val="ru-RU" w:bidi="ar"/>
        </w:rPr>
      </w:pPr>
    </w:p>
    <w:p w14:paraId="25049019">
      <w:pPr>
        <w:rPr>
          <w:rFonts w:ascii="Times New Roman" w:hAnsi="Times New Roman" w:eastAsia="宋体" w:cs="Times New Roman"/>
          <w:b/>
          <w:bCs/>
          <w:kern w:val="18"/>
          <w:sz w:val="24"/>
          <w:lang w:val="ru-RU"/>
        </w:rPr>
      </w:pPr>
      <w:r>
        <w:rPr>
          <w:rFonts w:ascii="Times New Roman" w:hAnsi="Times New Roman" w:eastAsia="宋体" w:cs="Times New Roman"/>
          <w:b/>
          <w:bCs/>
          <w:kern w:val="18"/>
          <w:sz w:val="24"/>
          <w:lang w:val="ru-RU"/>
        </w:rPr>
        <w:t>Литература</w:t>
      </w:r>
    </w:p>
    <w:p w14:paraId="3B18C7A7">
      <w:pPr>
        <w:pStyle w:val="4"/>
        <w:rPr>
          <w:rFonts w:ascii="Times New Roman" w:hAnsi="Times New Roman" w:eastAsia="宋体" w:cs="Times New Roman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lang w:val="ru-RU" w:bidi="ar"/>
        </w:rPr>
        <w:t>Замятин Е.И.</w:t>
      </w: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 xml:space="preserve"> Полн. собр. соч.: В 5 т. М., 2002. Т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>.1.</w:t>
      </w:r>
    </w:p>
    <w:p w14:paraId="40B030D4">
      <w:pPr>
        <w:rPr>
          <w:rFonts w:ascii="Times New Roman" w:hAnsi="Times New Roman" w:eastAsia="宋体" w:cs="Times New Roman"/>
          <w:kern w:val="0"/>
          <w:sz w:val="24"/>
          <w:lang w:val="ru-RU" w:bidi="ar"/>
        </w:rPr>
      </w:pPr>
      <w:r>
        <w:rPr>
          <w:rFonts w:hint="eastAsia" w:ascii="Times New Roman" w:hAnsi="Times New Roman" w:eastAsia="宋体" w:cs="Times New Roman"/>
          <w:i/>
          <w:iCs/>
          <w:kern w:val="0"/>
          <w:sz w:val="24"/>
          <w:lang w:bidi="ar"/>
        </w:rPr>
        <w:t>Cavendish P.J.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Evgenii Zamiatin in the 1990s: A Reassessment </w:t>
      </w:r>
      <w:r>
        <w:rPr>
          <w:rFonts w:hint="eastAsia" w:ascii="Times New Roman" w:hAnsi="Times New Roman" w:eastAsia="宋体" w:cs="Times New Roman"/>
          <w:kern w:val="0"/>
          <w:sz w:val="24"/>
          <w:lang w:bidi="ar"/>
        </w:rPr>
        <w:t>/</w:t>
      </w:r>
      <w:r>
        <w:rPr>
          <w:rFonts w:ascii="Times New Roman" w:hAnsi="Times New Roman" w:eastAsia="宋体" w:cs="Times New Roman"/>
          <w:kern w:val="0"/>
          <w:sz w:val="24"/>
          <w:lang w:bidi="ar"/>
        </w:rPr>
        <w:t xml:space="preserve">/ The Slavonic and East European Review. </w:t>
      </w:r>
      <w:r>
        <w:rPr>
          <w:rFonts w:ascii="Times New Roman" w:hAnsi="Times New Roman" w:eastAsia="宋体" w:cs="Times New Roman"/>
          <w:kern w:val="0"/>
          <w:sz w:val="24"/>
          <w:lang w:val="ru-RU" w:bidi="ar"/>
        </w:rPr>
        <w:t>2000. № 4. С. 739</w:t>
      </w:r>
      <w:r>
        <w:rPr>
          <w:rFonts w:hint="eastAsia" w:ascii="Times New Roman" w:hAnsi="Times New Roman" w:eastAsia="宋体" w:cs="Times New Roman"/>
          <w:kern w:val="0"/>
          <w:sz w:val="24"/>
          <w:lang w:val="ru-RU" w:bidi="ar"/>
        </w:rPr>
        <w:t>.</w:t>
      </w:r>
    </w:p>
    <w:sectPr>
      <w:endnotePr>
        <w:numFmt w:val="decimal"/>
      </w:endnote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M2M0YTEyMWNkODhlODVmNGRhNDg3YjM2NWI0MjIifQ=="/>
  </w:docVars>
  <w:rsids>
    <w:rsidRoot w:val="420127B5"/>
    <w:rsid w:val="00180369"/>
    <w:rsid w:val="002C580B"/>
    <w:rsid w:val="00323737"/>
    <w:rsid w:val="00327696"/>
    <w:rsid w:val="003B0C97"/>
    <w:rsid w:val="00404CC8"/>
    <w:rsid w:val="004211CD"/>
    <w:rsid w:val="004E2D69"/>
    <w:rsid w:val="00537DC8"/>
    <w:rsid w:val="005724BA"/>
    <w:rsid w:val="0068756B"/>
    <w:rsid w:val="00725E07"/>
    <w:rsid w:val="00752F29"/>
    <w:rsid w:val="00784462"/>
    <w:rsid w:val="007B310C"/>
    <w:rsid w:val="007C0C3F"/>
    <w:rsid w:val="007C27AC"/>
    <w:rsid w:val="007E50BE"/>
    <w:rsid w:val="00871B8B"/>
    <w:rsid w:val="00895940"/>
    <w:rsid w:val="008D190B"/>
    <w:rsid w:val="008F1C70"/>
    <w:rsid w:val="009A74F1"/>
    <w:rsid w:val="009D2EA5"/>
    <w:rsid w:val="009E0F93"/>
    <w:rsid w:val="00A21491"/>
    <w:rsid w:val="00A9635A"/>
    <w:rsid w:val="00B62E84"/>
    <w:rsid w:val="00C66589"/>
    <w:rsid w:val="00CE1F92"/>
    <w:rsid w:val="00E75980"/>
    <w:rsid w:val="00E8083D"/>
    <w:rsid w:val="00F4236C"/>
    <w:rsid w:val="00FA003E"/>
    <w:rsid w:val="00FC20CD"/>
    <w:rsid w:val="00FF048E"/>
    <w:rsid w:val="00FF58CD"/>
    <w:rsid w:val="070A0B24"/>
    <w:rsid w:val="0C2D2A0F"/>
    <w:rsid w:val="155838BF"/>
    <w:rsid w:val="164D0F49"/>
    <w:rsid w:val="1C1B5646"/>
    <w:rsid w:val="201C373B"/>
    <w:rsid w:val="20A11E2E"/>
    <w:rsid w:val="277D0F63"/>
    <w:rsid w:val="29471810"/>
    <w:rsid w:val="2E9B527F"/>
    <w:rsid w:val="33A55747"/>
    <w:rsid w:val="351F18AB"/>
    <w:rsid w:val="3F161F71"/>
    <w:rsid w:val="419158DF"/>
    <w:rsid w:val="420127B5"/>
    <w:rsid w:val="4E6D1482"/>
    <w:rsid w:val="50F5696E"/>
    <w:rsid w:val="55E63D4F"/>
    <w:rsid w:val="57740BD1"/>
    <w:rsid w:val="59E55EF5"/>
    <w:rsid w:val="5E2D4789"/>
    <w:rsid w:val="60C74A21"/>
    <w:rsid w:val="6B4C1D98"/>
    <w:rsid w:val="6C6742EC"/>
    <w:rsid w:val="739C3AEB"/>
    <w:rsid w:val="75B62796"/>
    <w:rsid w:val="783B47F8"/>
    <w:rsid w:val="7AE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ndnote reference"/>
    <w:basedOn w:val="7"/>
    <w:qFormat/>
    <w:uiPriority w:val="0"/>
    <w:rPr>
      <w:vertAlign w:val="superscript"/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footnote reference"/>
    <w:basedOn w:val="7"/>
    <w:autoRedefine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624</Words>
  <Characters>4097</Characters>
  <Lines>69</Lines>
  <Paragraphs>14</Paragraphs>
  <TotalTime>22</TotalTime>
  <ScaleCrop>false</ScaleCrop>
  <LinksUpToDate>false</LinksUpToDate>
  <CharactersWithSpaces>4718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2026-02-22T19:28:00Z</dcterms:created>
  <dc:creator>孙慢慢</dc:creator>
  <cp:lastModifiedBy>孙慢慢</cp:lastModifiedBy>
  <dcterms:modified xsi:type="dcterms:W3CDTF">2026-03-10T10:43:49Z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658855E0F17F457A9A6CC80FEBE8FDCE_13</vt:lpwstr>
  </property>
  <property fmtid="{D5CDD505-2E9C-101B-9397-08002B2CF9AE}" pid="4" name="KSOTemplateDocerSaveRecord">
    <vt:lpwstr>eyJoZGlkIjoiMWUwM2M0YTEyMWNkODhlODVmNGRhNDg3YjM2NWI0MjIiLCJ1c2VySWQiOiIzMjIyNzk5OTYifQ==</vt:lpwstr>
  </property>
</Properties>
</file>