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Суггестивный потенциал малайского пантуна в мистической поэтике русских символистов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Кирик Ульяна Владимировна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rtl w:val="0"/>
        </w:rPr>
        <w:t xml:space="preserve">Санкт-Петербургский государственный университет (СПбГУ), факультет свободных искусств и наук, выпускница (бакалавр)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Данная работа посвящена исследованию рецепции малайского пантуна в поэтике русских символистов. Прослеживается эволюция пантуна: от фольклорного стихосложения жителей Малайзии до суггестивного приема русской символистской поэтики.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color w:val="333333"/>
          <w:shd w:fill="fefef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ab/>
        <w:t xml:space="preserve">На рубеже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hd w:fill="fefefc" w:val="clear"/>
          <w:rtl w:val="0"/>
        </w:rPr>
        <w:t xml:space="preserve">XIX – ХХ веков в искусстве происходит вспышка интереса к “экзотической” тематике: “Модернизм был эпохой повального увлечения экзотикой” [Геллер, 14]. И действительно, в 1860-1890ых годах европейский взгляд устремляется на другие культуры в поисках новых идей и живых оснований: от “таитянского периода” Гогена до японских мотивов архитектуры Орта. Декаданс, а впоследствии и символизм не становятся исключением. Сначала французские авторы, а после, закономерно, русские, обращаются на Восток и вдохновляются новой для себя формой малайского “пантуна”.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color w:val="333333"/>
          <w:shd w:fill="fefe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color w:val="0a0a0a"/>
          <w:shd w:fill="fefef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hd w:fill="fefefc" w:val="clear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Пантун восходит к фольклорной традиции Нусантары. Структура текста строится на параллелизме: первые две строки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hd w:fill="fefefc" w:val="clear"/>
          <w:rtl w:val="0"/>
        </w:rPr>
        <w:t xml:space="preserve">пембаянг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) создают природный образ, вторые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hd w:fill="fefefc" w:val="clear"/>
          <w:rtl w:val="0"/>
        </w:rPr>
        <w:t xml:space="preserve">максуд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) — этико-эмоциональный вывод. По определению Катарины Сим, пантун становится не просто стихом, а “самой душой малайского народа, выраженной через тончайшие аллегории” [Sim, с. 1]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0f2f5" w:val="clear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 Важной ее идеей становится то, что взаимосвязь между пембаянгом и максудом часто непроговоренная, “безвыводная”, построенная на тонкой, подсознательной связи описанных природных явлений и человеческих эмоций. В работе высказывается предположение, что это является одним из факторов символистского интереса к формату “пантуна”. Более того, во многих трудах отмечается, так называемая традиционная “camal” функция пантуна, то есть использование его коренными народами Малайзии и Индонезии для магического влияния на реальность (для приманивания рыбы, заклинания пчел или даже привлечения любви) [Nur H., с. 204].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color w:val="0a0a0a"/>
          <w:shd w:fill="fefe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  <w:shd w:fill="fefef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В отличие от оригинала, европейский и русский пантум претерпели функциональную трансформацию. Если малайский канон сфокусирован на антропокосмическом параллелизме, то западная литературная форма использует цепочные повторы для достижения суггестивности. В русской поэтической традиции акцент смещается с предметной образности на создание трансового состояния и медитативной цикличности, что радикально меняет прагматику жанра. </w:t>
      </w:r>
    </w:p>
    <w:p w:rsidR="00000000" w:rsidDel="00000000" w:rsidP="00000000" w:rsidRDefault="00000000" w:rsidRPr="00000000" w14:paraId="0000000E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  <w:shd w:fill="fefe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В работе обзорно анализируется рецепция и преломление понимания “пантуна” и превращение его в “цепной пантун” в стихотворениях Брюсова и К. Бальмонта.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highlight w:val="white"/>
          <w:rtl w:val="0"/>
        </w:rPr>
        <w:t xml:space="preserve">Пантун превращается в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психотехнику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highlight w:val="white"/>
          <w:rtl w:val="0"/>
        </w:rPr>
        <w:t xml:space="preserve">. Он используется для фиксации «невыразимых» моментов озарения, где форма сама по себе генерирует мистическое настроение. Рассматривается роль пантуна как средства выражения “автоматизма восприятия”.</w:t>
      </w:r>
    </w:p>
    <w:p w:rsidR="00000000" w:rsidDel="00000000" w:rsidP="00000000" w:rsidRDefault="00000000" w:rsidRPr="00000000" w14:paraId="00000010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highlight w:val="white"/>
          <w:rtl w:val="0"/>
        </w:rPr>
        <w:t xml:space="preserve">Отдельная часть работы посвящена “семантическому полю” смыслов [Долгих, с.89-98], связанных с формой пантуна. Темы взаимосвязи природного и человеческого начала, их гармонизации тесно переплетаются с пантуном, и обретают новое прочтение в поэзии русских символистов.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Ставится вопрос о “коммуникативной эквивалентност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и”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[Rizkia, p. 36]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, а именно как специфика русской культуры и языка влияют на изменение основных малайских м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hd w:fill="fefefc" w:val="clear"/>
          <w:rtl w:val="0"/>
        </w:rPr>
        <w:t xml:space="preserve">отивов. Обнаружены две техники: либо “сохранение” малайских образов (пальмы, бамбук) при их сакрализации (тесная связь с эффектом “остранения”), либо их подмена (смысловые параллели ловля рыбы - сбор трав, бамбук - камыш и др) в рамках русских поэтических реалий.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highlight w:val="white"/>
          <w:rtl w:val="0"/>
        </w:rPr>
        <w:br w:type="textWrapping"/>
        <w:tab/>
        <w:t xml:space="preserve">Кратко анализируются “пантунные” реминисценции в творчестве Вячеслава Иванова и Александра Блока.</w:t>
      </w:r>
    </w:p>
    <w:p w:rsidR="00000000" w:rsidDel="00000000" w:rsidP="00000000" w:rsidRDefault="00000000" w:rsidRPr="00000000" w14:paraId="00000013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Суггестивный потенциал формы эксплицируется через систему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вербальных ассоциаций и фоническую организацию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(аллитерации, внутренние рифмы). Ключевым средством выступает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композиционный параллелизм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, создающий зазор между природным и ментальным планами. “Магический” эффект пантуна и его трансовость становятся средством выражения идей символистов.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firstLine="720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Список литературы: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rtl w:val="0"/>
        </w:rPr>
        <w:t xml:space="preserve">Геллер, Л.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К описанию экзотизмов. Предложения // Филологические записки. — Воронеж, 2008. — Вып. 27. — С. 5–31.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rtl w:val="0"/>
        </w:rPr>
        <w:t xml:space="preserve">Долгих, Н. Г.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Теория семантического поля на современном этапе развития семасиологии // Научные доклады высшей школы. Филологические науки. — 1973. — № 1. — С. 89–98.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rtl w:val="0"/>
        </w:rPr>
        <w:t xml:space="preserve">Шкловский, В. Б.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Искусство как прием // О теории прозы / В. Б. Шкловский. — Москва : Круг, 1925. — С. 7–20.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rtl w:val="0"/>
        </w:rPr>
        <w:t xml:space="preserve">Nur, H.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Pantun in the classical and Digital Malay Era: A phenomenological study / H. Nur, S. Suwandi, N. E. Wardani // Research Journal in Advanced Humanities. — 2024. — Vol. 5, Is. 1. — P. 192–208.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rtl w:val="0"/>
        </w:rPr>
        <w:t xml:space="preserve">Rizkia, A.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Comparison of Three Anonymous Malay Pantun By A. W. Hamilton, R. O. Winstedt, and Katherine Sim in Translation Strategy and Equivalence Perspective : Bachelor's thesis / A. Rizkia ; State Islamic University of Syarif Hidayatullah. — Jakarta, 2015. — 94 p.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rtl w:val="0"/>
        </w:rPr>
        <w:t xml:space="preserve">Sim, K.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rtl w:val="0"/>
        </w:rPr>
        <w:t xml:space="preserve"> Flowers of the Sun: A Positive Approach to the Malay Pantun. — Singapore : Eastern Universities Press, 1957. — 128 p.</w:t>
      </w:r>
    </w:p>
    <w:p w:rsidR="00000000" w:rsidDel="00000000" w:rsidP="00000000" w:rsidRDefault="00000000" w:rsidRPr="00000000" w14:paraId="0000001E">
      <w:pPr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