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Явление соположения в современном французском языке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анализ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одной из функций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второго компонента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конструкций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построенных по модели «существительное+существительное»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0"/>
        <w:jc w:val="center"/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Захарова Полина Александровна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0"/>
        <w:jc w:val="center"/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Студентка Московского государственного университета имени М.В. Ломоносова, Москва, Россия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Наше исследование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посвящено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чрезвычайно продуктивн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современном французском языке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языков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конструкци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ям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построенны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модели «существительное+существительн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ое»,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 компонента которых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соединены беспредложной связью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Отношения, складывающиеся между компонентами подобных биномов, разнообразны, и связь между ними не всегда однозначна. Поскольку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отношения между компонентами чаще всего зависят от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второго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существительного, то все конструкции можно разделить по той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функции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которую выполняет второй компонент бинома.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Мы выделили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 функции второго компонента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номинативных конструкций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квалифицирующую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(или характеризующую) функцию: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la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justice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escargot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координирующую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функцию: un dîner-débat;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идентифицирующую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функц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ию: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le président Pompid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дополнительную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(комплементарную) функцию: la moquette laine 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данном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сообщении рассматриваются конструкции с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дополните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льной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функцией второго компонента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который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выступает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качестве именного дополнения к компоненту N1 с той лишь разницей, что между двумя существительными нет предлога: le centre de la ville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Arial" w:hAnsi="Arial" w:eastAsia="Arial" w:cs="Arial"/>
          <w:color w:val="333333"/>
          <w:sz w:val="24"/>
          <w:highlight w:val="white"/>
        </w:rPr>
        <w:t xml:space="preserve"> </w:t>
      </w:r>
      <w:r>
        <w:rPr>
          <w:rFonts w:ascii="Arial" w:hAnsi="Arial" w:eastAsia="Arial" w:cs="Arial"/>
          <w:color w:val="333333"/>
          <w:sz w:val="24"/>
          <w:highlight w:val="white"/>
          <w:u w:val="none"/>
        </w:rPr>
        <w:t xml:space="preserve">→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le cen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tre-ville.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Исследователи по-разному характеризуют биномы, в которых два существительных находятся в соположении.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Так,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Кристиан Рорер [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Rohrer: 92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]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азывал конструкции без предлога неграмматичными;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Арсен Дармстетер [Darmesteter: 158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]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отмечал, что опущение предлог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 в подобного рода конструкциях не противоречит французскому языковому сознанию.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Биномы данного типа имеют ряд особенностей. Одна из них —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не всегда очевидная внутренняя связь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между двумя существительными. Не всегда можно однозначно установить, какой именн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 предлог был опущен, и определить, что обозначает N2 по отношению к N1: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sauce câpres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может восприниматься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как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sauce aux câpres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(каперсный соус) или как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sauce avec des câpres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соус с каперсами).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/>
          <w:color w:val="000000" w:themeColor="text1"/>
          <w:sz w:val="28"/>
          <w:szCs w:val="28"/>
          <w:highlight w:val="yellow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Другой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особенностью этих конструкций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нерегулярность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согласования двух компонентов бинома в числе: u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fr-FR"/>
        </w:rPr>
        <w:t xml:space="preserve">n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fr-FR"/>
        </w:rPr>
        <w:t xml:space="preserve">roman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fr-FR"/>
        </w:rPr>
        <w:t xml:space="preserve">photos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fr-FR"/>
        </w:rPr>
        <w:t xml:space="preserve">des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fr-FR"/>
        </w:rPr>
        <w:t xml:space="preserve">jumelles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é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prouvette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val="en-US"/>
        </w:rPr>
        <w:t xml:space="preserve">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Следующая особенность рассматриваемых биномов заключается в том, что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них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между двумя существительными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возможно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включение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прилагательно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характеризующе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N1: l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e plan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white"/>
        </w:rPr>
        <w:t xml:space="preserve">national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cancer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Прилагательное может стоять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также и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препозиции к компоненту N1 и, таким образом,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относиться ко всей номинативной группе, а не к её отдельному элементу: l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fr-FR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white"/>
          <w:lang w:val="fr-FR"/>
        </w:rPr>
        <w:t xml:space="preserve">nouvelle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fr-FR"/>
        </w:rPr>
        <w:t xml:space="preserve">strat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é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fr-FR"/>
        </w:rPr>
        <w:t xml:space="preserve">gie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fr-FR"/>
        </w:rPr>
        <w:t xml:space="preserve">Mitterrand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казывается достаточно сложной задачей распределить все разнообразие НК этого типа по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четким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дгруппам. Однако все же возможно рассмотреть нюансы связей между компонентами таких НК, и, поскольку их второй компонент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по сути, играет роль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именно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дополнени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введенно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без предлогов и артиклей,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буд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ем классифицировать биномы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по значению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этого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второго компонента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Итак,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2 может обозначать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1) качество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1 —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démaquillage confort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2) материал N1 —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mur béton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3) содержимое N1 —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potage vermicelles , 4) предназначение N1 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produit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vaisselle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5)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поссессивность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принадлежность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самом широком смысле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Le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gouvernement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Chirac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l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’é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galit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é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h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omme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femmes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6)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время — nettoyage-minute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7) происхождение, исток N1 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centre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danse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Marais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8) характерную черту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 — le couple TGV, 9) способ функционирования, применения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 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boutons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pression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к этому же типу относятся конструкции, где N2 обозна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чает а): инструмент, способ, с помощью которого функционирует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bébé-é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prouvette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б) причину появления, функционирования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allocation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ch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mage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10) сравнение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 со вторым компонентом: dé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collet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é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danseuse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Существует целый ряд НК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в состав которых в качестве первого компонента входят слова с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размытой, общей семантикой,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типа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c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é,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niveau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question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 т.д.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например,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cô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é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d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é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coration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iveau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culture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q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uestion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look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ur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le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plan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vitesse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В них первое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существительное не переводится буквально, выступает не в роли самостоятельного существительного – компонента конструкции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+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а в роли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предлога,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вводящего в предложение стержневое слово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что позволяет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ключить употребление придаточных предложений и замени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ть предлог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quant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à.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Данные модели пользуются чрезвычайной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популярностью у носителей языка и легко образуются как в разговорной, так и в письменной речи.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Иные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bookmarkStart w:id="1" w:name="undefined"/>
      <w:r/>
      <w:bookmarkEnd w:id="1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слова,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которые часто образуют номинативные конструкции, но не являются при этом существительными-предлогами, типа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style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fa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ç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on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genre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modèle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Н.А. Шигаревская [Шигаревска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я: 75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] наз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ывает «связующими». Второе существительное здесь играет роль настоящего прилагате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льного, оставаясь при этом в форме субстантива: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l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style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lingerie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—  бельевой стиль.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Проблема перевода данного типа биномов связана не только с трудностями установления отсутствующего предлога. Прямой перевод слов не всегда будет являться логичным, поэто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му каждый раз будет зависеть от контекста: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le style cohabitation-courtoisie d'É.Balladur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— вежливая манера общения с оппозицией Эдуара Балладюра.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fr-FR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sac avec une anse façon cartouchière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  <w:lang w:val="fr-F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сумка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стиле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патронташ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fr-FR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  <w:lang w:val="fr-FR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Un certain nombre de gens va découvrir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le fait opéra — ...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откроют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себя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мир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оперы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  <w:lang w:val="fr-FR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Moi, on ne me donne jamais que les gros bouquins rouge et or, à images,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genre Jules Verne... — ...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наподобие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изданий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Верна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fr-FR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fr-FR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Группа биномов с дополнительной функцией второго компонента является, с одной стороны, самой спорной с точки зрения грамматики французского языка, обычно требующей предложную связь между двумя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ущ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ес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тель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ными, а с другой — наиболее широко представленной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корпусе собранных нами примеров и встречающейся в классификациях исследователей, занимавшихся беспредложной конструкцией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+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fr-FR"/>
        </w:rPr>
        <w:t xml:space="preserve">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center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Литература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Шигаревская Н.А.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Новое в современном французском синтаксисе. 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., 1977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firstLine="708"/>
        <w:spacing w:after="0"/>
        <w:rPr>
          <w:lang w:val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Darmesteter A. De la création actuelle de mots nouveaux dans la langue française, et des lois qui la régissent, Paris, 1877.</w:t>
      </w:r>
      <w:r>
        <w:rPr>
          <w:lang w:val="fr-FR"/>
        </w:rPr>
      </w:r>
    </w:p>
    <w:p>
      <w:pPr>
        <w:ind w:firstLine="708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Rohrer C. Die Wortzusammensetzung in modernen französisch.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Tübingen, 1967.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41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5"/>
    <w:uiPriority w:val="10"/>
    <w:rPr>
      <w:sz w:val="48"/>
      <w:szCs w:val="48"/>
    </w:rPr>
  </w:style>
  <w:style w:type="character" w:styleId="37">
    <w:name w:val="Subtitle Char"/>
    <w:basedOn w:val="663"/>
    <w:link w:val="677"/>
    <w:uiPriority w:val="11"/>
    <w:rPr>
      <w:sz w:val="24"/>
      <w:szCs w:val="24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5">
    <w:name w:val="Footer Char"/>
    <w:basedOn w:val="663"/>
    <w:link w:val="685"/>
    <w:uiPriority w:val="99"/>
  </w:style>
  <w:style w:type="character" w:styleId="47">
    <w:name w:val="Caption Char"/>
    <w:basedOn w:val="663"/>
    <w:link w:val="68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653"/>
    <w:next w:val="653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Заголовок Знак"/>
    <w:link w:val="675"/>
    <w:uiPriority w:val="10"/>
    <w:rPr>
      <w:sz w:val="48"/>
      <w:szCs w:val="48"/>
    </w:rPr>
  </w:style>
  <w:style w:type="paragraph" w:styleId="677">
    <w:name w:val="Subtitle"/>
    <w:basedOn w:val="653"/>
    <w:next w:val="653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53"/>
    <w:next w:val="653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3"/>
    <w:next w:val="653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Нижний колонтитул Знак"/>
    <w:link w:val="685"/>
    <w:uiPriority w:val="99"/>
  </w:style>
  <w:style w:type="paragraph" w:styleId="687">
    <w:name w:val="Caption"/>
    <w:basedOn w:val="653"/>
    <w:next w:val="653"/>
    <w:link w:val="68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8" w:customStyle="1">
    <w:name w:val="Название объекта Знак"/>
    <w:link w:val="687"/>
    <w:uiPriority w:val="35"/>
    <w:rPr>
      <w:b/>
      <w:bCs/>
      <w:color w:val="5b9bd5" w:themeColor="accent1"/>
      <w:sz w:val="18"/>
      <w:szCs w:val="18"/>
    </w:rPr>
  </w:style>
  <w:style w:type="table" w:styleId="689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563c1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  <w:pPr>
      <w:spacing w:after="0"/>
    </w:pPr>
  </w:style>
  <w:style w:type="paragraph" w:styleId="833">
    <w:name w:val="No Spacing"/>
    <w:basedOn w:val="653"/>
    <w:uiPriority w:val="1"/>
    <w:qFormat/>
    <w:pPr>
      <w:spacing w:after="0" w:line="240" w:lineRule="auto"/>
    </w:pPr>
  </w:style>
  <w:style w:type="paragraph" w:styleId="834">
    <w:name w:val="List Paragraph"/>
    <w:basedOn w:val="6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Polina</cp:lastModifiedBy>
  <cp:revision>4</cp:revision>
  <dcterms:created xsi:type="dcterms:W3CDTF">2026-02-26T15:48:00Z</dcterms:created>
  <dcterms:modified xsi:type="dcterms:W3CDTF">2026-02-28T15:11:55Z</dcterms:modified>
</cp:coreProperties>
</file>