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firstLine="283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Новые англицизмы из области музыки в сербском языке </w:t>
      </w:r>
    </w:p>
    <w:p>
      <w:pPr>
        <w:pStyle w:val="Body"/>
        <w:ind w:firstLine="283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Сорочинская Полина Александровна</w:t>
      </w:r>
    </w:p>
    <w:p>
      <w:pPr>
        <w:pStyle w:val="Body"/>
        <w:ind w:firstLine="283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Студентка Московского Государственного Университета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Body"/>
        <w:ind w:firstLine="283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instrText xml:space="preserve"> HYPERLINK "mailto:sorochinskaya07@inbox.ru"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sorochinskaya07@inbox.ru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end" w:fldLock="0"/>
      </w:r>
    </w:p>
    <w:p>
      <w:pPr>
        <w:pStyle w:val="Body"/>
        <w:ind w:firstLine="283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"/>
        <w:spacing w:before="20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Целью моей работы является анализ способов адаптации англицизмов из области музыки в сербском языке на примере двух сербских словарей новейших англицизмов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/>
          <w:sz w:val="24"/>
          <w:szCs w:val="24"/>
          <w:rtl w:val="0"/>
        </w:rPr>
        <w:t>Vasi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Pr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nl-NL"/>
        </w:rPr>
        <w:t>, Nejgebauer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2018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Dra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Mili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ru-RU"/>
        </w:rPr>
        <w:t>, 2021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первом словаре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</w:rPr>
        <w:t>Vasi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Pr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nl-NL"/>
        </w:rPr>
        <w:t>, Nejgebauer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собраны примеры англицизмов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вошедших в сербский язык за последние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преимущественно из прессы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радио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телепередач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разговорной речи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Второй словарь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Dra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Mili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свою очередь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дает более широкую временную перспективу и представляет материал за последние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предметом анализа в докладе являются новейшие англицизмы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зафиксированные в сербском языке за последние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заимствования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принятые в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впоследствии приобретшие новые 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spacing w:before="20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Иноязычное слово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оказавшись в системе заимствующего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подстраивается под 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изменяя свой графический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лексический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грамматический или стилистический облик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Маринова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2012: 157].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 адаптации происходит постепенно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степени приспособления к системе принимающего языка заимствования можно разделить 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заимствования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полностью вошедшие в систему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стилистически ограниченные заимствования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также подчинившиеся системе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3)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непрочные заимствования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Брагина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1973: 159]. </w:t>
      </w:r>
    </w:p>
    <w:p>
      <w:pPr>
        <w:pStyle w:val="Body"/>
        <w:spacing w:before="20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0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Проведенный анализ показал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англицизмах из области музыки в сербском языке наиболее активно проявляются следующие способы адаптации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графическая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примером может являться сербское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ritamendbluz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взятое от английского сочетания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rhythm and blues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грамматическая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наличие глагола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repovati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 характерным сербским глагольным суффиксом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ova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отглагольное существительное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semplovanje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 суффиксом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ovan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естественные процессы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переходом заимствований в другой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свою специфику в каждом из принимающих языков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 сербском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spacing w:before="20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0"/>
        <w:ind w:firstLine="39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Body"/>
        <w:spacing w:before="20"/>
        <w:ind w:firstLine="39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numPr>
          <w:ilvl w:val="0"/>
          <w:numId w:val="2"/>
        </w:numPr>
        <w:spacing w:before="2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Vasi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fr-FR"/>
        </w:rPr>
        <w:t>V.,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ć</w:t>
      </w:r>
      <w:r>
        <w:rPr>
          <w:rFonts w:ascii="Times New Roman" w:hAnsi="Times New Roman"/>
          <w:sz w:val="24"/>
          <w:szCs w:val="24"/>
          <w:rtl w:val="0"/>
          <w:lang w:val="fr-FR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fr-FR"/>
        </w:rPr>
        <w:t>T., Nejgebauer G. Du yu speak anglosrpski? 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č</w:t>
      </w:r>
      <w:r>
        <w:rPr>
          <w:rFonts w:ascii="Times New Roman" w:hAnsi="Times New Roman"/>
          <w:sz w:val="24"/>
          <w:szCs w:val="24"/>
          <w:rtl w:val="0"/>
          <w:lang w:val="fr-FR"/>
        </w:rPr>
        <w:t>nik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novijih anglicizama. </w:t>
      </w:r>
      <w:r>
        <w:rPr>
          <w:rFonts w:ascii="Times New Roman" w:hAnsi="Times New Roman"/>
          <w:sz w:val="24"/>
          <w:szCs w:val="24"/>
          <w:rtl w:val="0"/>
        </w:rPr>
        <w:t>Novi Sad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2018.</w:t>
      </w:r>
    </w:p>
    <w:p>
      <w:pPr>
        <w:pStyle w:val="Body"/>
        <w:numPr>
          <w:ilvl w:val="0"/>
          <w:numId w:val="2"/>
        </w:numPr>
        <w:spacing w:befor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ć</w:t>
      </w:r>
      <w:r>
        <w:rPr>
          <w:rFonts w:ascii="Times New Roman" w:hAnsi="Times New Roman"/>
          <w:sz w:val="24"/>
          <w:szCs w:val="24"/>
          <w:rtl w:val="0"/>
          <w:lang w:val="fr-FR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T.,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/>
          <w:sz w:val="24"/>
          <w:szCs w:val="24"/>
          <w:rtl w:val="0"/>
          <w:lang w:val="fr-FR"/>
        </w:rPr>
        <w:t>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J.,</w:t>
      </w:r>
      <w:r>
        <w:rPr>
          <w:rFonts w:ascii="Times New Roman" w:hAnsi="Times New Roman"/>
          <w:sz w:val="24"/>
          <w:szCs w:val="24"/>
          <w:rtl w:val="0"/>
        </w:rPr>
        <w:t xml:space="preserve"> M</w:t>
      </w:r>
      <w:r>
        <w:rPr>
          <w:rFonts w:ascii="Times New Roman" w:hAnsi="Times New Roman"/>
          <w:sz w:val="24"/>
          <w:szCs w:val="24"/>
          <w:rtl w:val="0"/>
          <w:lang w:val="en-US"/>
        </w:rPr>
        <w:t>ili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 drugi. </w:t>
      </w:r>
      <w:r>
        <w:rPr>
          <w:rFonts w:ascii="Times New Roman" w:hAnsi="Times New Roman"/>
          <w:sz w:val="24"/>
          <w:szCs w:val="24"/>
          <w:rtl w:val="0"/>
          <w:lang w:val="en-US"/>
        </w:rPr>
        <w:t>Srpski re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nik novijih anglicizama. Novi Sad, 2021.</w:t>
      </w:r>
    </w:p>
    <w:p>
      <w:pPr>
        <w:pStyle w:val="Body"/>
        <w:numPr>
          <w:ilvl w:val="0"/>
          <w:numId w:val="2"/>
        </w:numPr>
        <w:spacing w:before="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Брагина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Неологизмы в русском языке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 xml:space="preserve">1973. </w:t>
      </w:r>
    </w:p>
    <w:p>
      <w:pPr>
        <w:pStyle w:val="Body"/>
        <w:numPr>
          <w:ilvl w:val="0"/>
          <w:numId w:val="2"/>
        </w:numPr>
        <w:spacing w:before="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Маринова 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Иноязычная лексика современного русского языка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., 2012. </w:t>
      </w:r>
    </w:p>
    <w:p>
      <w:pPr>
        <w:pStyle w:val="Body"/>
        <w:spacing w:before="20"/>
        <w:ind w:firstLine="397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num" w:pos="790"/>
        </w:tabs>
        <w:ind w:left="39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50"/>
        </w:tabs>
        <w:ind w:left="75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510"/>
        </w:tabs>
        <w:ind w:left="111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70"/>
        </w:tabs>
        <w:ind w:left="147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230"/>
        </w:tabs>
        <w:ind w:left="183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590"/>
        </w:tabs>
        <w:ind w:left="219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950"/>
        </w:tabs>
        <w:ind w:left="255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310"/>
        </w:tabs>
        <w:ind w:left="291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670"/>
        </w:tabs>
        <w:ind w:left="327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