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студентка 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курса 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32 группы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Евдокия Антоновна Дадыкина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Научный руководитель: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доктор филологических наук, доцент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кафедры славянской филологии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jc w:val="right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Екатерина Ивановна Якушкина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Научный консультант: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доктор филологических  наук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jc w:val="right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Седакова Ирина Александровна 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 Прагматика конструирования посмертного образа человека в печатных и электронных некрологах на Балканах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Посмертная судьба человека «целиком зависит от памяти о нем живых родственников», как отмечала в своей работе С.М. Толстая (Толстая 2000: 15).  Эта зависимость реализуется в том числе и в языке. </w:t>
      </w:r>
    </w:p>
    <w:p w:rsidR="00000000" w:rsidDel="00000000" w:rsidP="00000000" w:rsidRDefault="00000000" w:rsidRPr="00000000" w14:paraId="0000000C">
      <w:pPr>
        <w:ind w:firstLine="850.3937007874017"/>
        <w:rPr/>
      </w:pPr>
      <w:r w:rsidDel="00000000" w:rsidR="00000000" w:rsidRPr="00000000">
        <w:rPr>
          <w:rtl w:val="0"/>
        </w:rPr>
        <w:t xml:space="preserve">Важную роль в сохранении памяти на Балканах играют поминальные листки-некрологи — уникальный культурный феномен, характерный для Сербии, Черногории, Хорватии и Боснии и Герцеговины. В этом регионе некрологи не просто информируют о смерти, но выполняют широкий спектр социальных, ритуальных и мемориальных функций: они отражают специфику межпоколенческих отношений, семейную иерархию, представления о жизни и смерти, а также формы публичного выражения горя. Особенность традиции заключается в том, что некрологи имеют определенную форму и размещаются родственниками не только в газетах, но и на улицах, и в интернете.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Тема смерти и вербальной коммуникации живых и мертвых широко рассматривается в науке (см. работы Сикимић 2007; Карабоева</w:t>
      </w:r>
      <w:r w:rsidDel="00000000" w:rsidR="00000000" w:rsidRPr="00000000">
        <w:rPr>
          <w:rtl w:val="0"/>
        </w:rPr>
        <w:t xml:space="preserve"> 2010; Обрадовић 2018; Толстая  2000; Плотникова 2009; Седакова 2018; и многие др.), однако феномен балканского некролога и механизм формирования посмертного статуса человека в нем все еще остается недостаточно исследованным.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" w:before="20" w:line="360" w:lineRule="auto"/>
        <w:ind w:firstLine="700"/>
        <w:jc w:val="both"/>
        <w:rPr/>
      </w:pPr>
      <w:r w:rsidDel="00000000" w:rsidR="00000000" w:rsidRPr="00000000">
        <w:rPr>
          <w:rtl w:val="0"/>
        </w:rPr>
        <w:t xml:space="preserve">В докладе рассматривается прагматика формирования образа покойного на материале печатных и электронных некрологов, собранных со специализированных сайтов Черногории, Сербии и Боснии и Герцеговины, а также полевые материалы, собранные автором на территориях этих государств в городах Бар, Херцег-Нови, Белград (р-н Ресник), Нови-Сад, Баня-Лука, Прнявор и др. Дополнительно были использованы некрологи, предоставленные И. А. Седаковой и А. Г. Кравецким, сфотографированные в городе Требине. Помимо этого, используются данные, полученные путем электронного анкетирования, проводимого исследователем в 2026 году.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" w:before="20" w:line="360" w:lineRule="auto"/>
        <w:ind w:firstLine="700"/>
        <w:jc w:val="both"/>
        <w:rPr/>
      </w:pPr>
      <w:r w:rsidDel="00000000" w:rsidR="00000000" w:rsidRPr="00000000">
        <w:rPr>
          <w:rtl w:val="0"/>
        </w:rPr>
        <w:t xml:space="preserve">Целью доклада является анализ прагматики номинации, использования аксиологической лексики и устойчивых формул, а также визуальных приемов в определении статуса умершего в семейной и социальной памяти. Анализ корпуса текстов позволяет выявить связь между выбором языковых средств и такими факторами, как тип некролога (</w:t>
      </w:r>
      <w:r w:rsidDel="00000000" w:rsidR="00000000" w:rsidRPr="00000000">
        <w:rPr>
          <w:i w:val="1"/>
          <w:iCs w:val="1"/>
          <w:rtl w:val="0"/>
        </w:rPr>
        <w:t xml:space="preserve">читуље, е-читуље, умрлице, осмртнице помени, обавештења, поздрави</w:t>
      </w:r>
      <w:r w:rsidDel="00000000" w:rsidR="00000000" w:rsidRPr="00000000">
        <w:rPr>
          <w:rtl w:val="0"/>
        </w:rPr>
        <w:t xml:space="preserve">), степень родства составителя, пол и возраст покойного, а также региональная и конфессионная принадлежность. В результате исследования, предполагается доказать, что некролог некролог становится ключевым инструментом в формировании и сохранении памяти о покойном и отражает  архаическое представление о зависимости посмертной судьбы человека от памяти живых, и коллективные ценности, укрепляющие родовую и общинную идентичность.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="259.00079999999997" w:lineRule="auto"/>
        <w:rPr>
          <w:b w:val="1"/>
          <w:bCs w:val="1"/>
          <w:sz w:val="24"/>
          <w:szCs w:val="24"/>
        </w:rPr>
      </w:pPr>
      <w:bookmarkStart w:colFirst="0" w:colLast="0" w:name="_pbr38q4k2mzx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Литература и источники</w:t>
      </w:r>
    </w:p>
    <w:p w:rsidR="00000000" w:rsidDel="00000000" w:rsidP="00000000" w:rsidRDefault="00000000" w:rsidRPr="00000000" w14:paraId="00000011">
      <w:pPr>
        <w:spacing w:after="0" w:before="0" w:lineRule="auto"/>
        <w:ind w:firstLine="700"/>
        <w:rPr/>
      </w:pPr>
      <w:r w:rsidDel="00000000" w:rsidR="00000000" w:rsidRPr="00000000">
        <w:rPr>
          <w:i w:val="1"/>
          <w:iCs w:val="1"/>
          <w:rtl w:val="0"/>
        </w:rPr>
        <w:t xml:space="preserve">Буркхарт Д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. Текст — контекст — аспекти српскохрватске тужбалице. Расковник. 1990. No 61/62. С. 85−102.</w:t>
      </w:r>
    </w:p>
    <w:p w:rsidR="00000000" w:rsidDel="00000000" w:rsidP="00000000" w:rsidRDefault="00000000" w:rsidRPr="00000000" w14:paraId="00000012">
      <w:pPr>
        <w:spacing w:after="20" w:before="20" w:lineRule="auto"/>
        <w:ind w:firstLine="700"/>
        <w:rPr/>
      </w:pPr>
      <w:r w:rsidDel="00000000" w:rsidR="00000000" w:rsidRPr="00000000">
        <w:rPr>
          <w:i w:val="1"/>
          <w:iCs w:val="1"/>
          <w:rtl w:val="0"/>
        </w:rPr>
        <w:t xml:space="preserve">Валенцова М. М., Узенёва Е. С</w:t>
      </w:r>
      <w:r w:rsidDel="00000000" w:rsidR="00000000" w:rsidRPr="00000000">
        <w:rPr>
          <w:rtl w:val="0"/>
        </w:rPr>
        <w:t xml:space="preserve">. Полотенце // Славянские древности: этнолингв. словарь: в 5 т. / под общ. ред. Н. И. Толстого. Т. 4. М.: Международные отношения, 2009. С. 147–150.</w:t>
      </w:r>
    </w:p>
    <w:p w:rsidR="00000000" w:rsidDel="00000000" w:rsidP="00000000" w:rsidRDefault="00000000" w:rsidRPr="00000000" w14:paraId="00000013">
      <w:pPr>
        <w:spacing w:after="20" w:before="20" w:lineRule="auto"/>
        <w:ind w:firstLine="700"/>
        <w:rPr/>
      </w:pPr>
      <w:r w:rsidDel="00000000" w:rsidR="00000000" w:rsidRPr="00000000">
        <w:rPr>
          <w:i w:val="1"/>
          <w:iCs w:val="1"/>
          <w:rtl w:val="0"/>
        </w:rPr>
        <w:t xml:space="preserve">Грковић М</w:t>
      </w:r>
      <w:r w:rsidDel="00000000" w:rsidR="00000000" w:rsidRPr="00000000">
        <w:rPr>
          <w:rtl w:val="0"/>
        </w:rPr>
        <w:t xml:space="preserve">. Речник личних имена код Срба. Београд, 1977.</w:t>
      </w:r>
    </w:p>
    <w:p w:rsidR="00000000" w:rsidDel="00000000" w:rsidP="00000000" w:rsidRDefault="00000000" w:rsidRPr="00000000" w14:paraId="00000014">
      <w:pPr>
        <w:spacing w:after="20" w:before="20" w:lineRule="auto"/>
        <w:ind w:firstLine="700"/>
        <w:rPr/>
      </w:pPr>
      <w:r w:rsidDel="00000000" w:rsidR="00000000" w:rsidRPr="00000000">
        <w:rPr>
          <w:i w:val="1"/>
          <w:iCs w:val="1"/>
          <w:rtl w:val="0"/>
        </w:rPr>
        <w:t xml:space="preserve">Ермолин Д. </w:t>
      </w:r>
      <w:r w:rsidDel="00000000" w:rsidR="00000000" w:rsidRPr="00000000">
        <w:rPr>
          <w:rtl w:val="0"/>
        </w:rPr>
        <w:t xml:space="preserve">Пространство смерти и этнокультурная мозаика Призрена (Косово/Сербия) // Государство, религия, церковь в России и за рубежом. 2014. № 2 (32). С. 36–56.</w:t>
      </w:r>
    </w:p>
    <w:p w:rsidR="00000000" w:rsidDel="00000000" w:rsidP="00000000" w:rsidRDefault="00000000" w:rsidRPr="00000000" w14:paraId="00000015">
      <w:pPr>
        <w:spacing w:after="20" w:before="20" w:lineRule="auto"/>
        <w:ind w:firstLine="700"/>
        <w:rPr/>
      </w:pPr>
      <w:r w:rsidDel="00000000" w:rsidR="00000000" w:rsidRPr="00000000">
        <w:rPr>
          <w:i w:val="1"/>
          <w:iCs w:val="1"/>
          <w:rtl w:val="0"/>
        </w:rPr>
        <w:t xml:space="preserve">Карабоева Е. </w:t>
      </w:r>
      <w:r w:rsidDel="00000000" w:rsidR="00000000" w:rsidRPr="00000000">
        <w:rPr>
          <w:rtl w:val="0"/>
        </w:rPr>
        <w:t xml:space="preserve">Некрологът: Българинът пред лицето на смъртта. София, 1988.</w:t>
      </w:r>
    </w:p>
    <w:p w:rsidR="00000000" w:rsidDel="00000000" w:rsidP="00000000" w:rsidRDefault="00000000" w:rsidRPr="00000000" w14:paraId="00000016">
      <w:pPr>
        <w:spacing w:after="20" w:before="20" w:lineRule="auto"/>
        <w:ind w:firstLine="700"/>
        <w:rPr/>
      </w:pPr>
      <w:r w:rsidDel="00000000" w:rsidR="00000000" w:rsidRPr="00000000">
        <w:rPr>
          <w:i w:val="1"/>
          <w:iCs w:val="1"/>
          <w:rtl w:val="0"/>
        </w:rPr>
        <w:t xml:space="preserve">Караџић Вук Стефановић</w:t>
      </w:r>
      <w:r w:rsidDel="00000000" w:rsidR="00000000" w:rsidRPr="00000000">
        <w:rPr>
          <w:rtl w:val="0"/>
        </w:rPr>
        <w:t xml:space="preserve">. Живот и обичаји народа српскога // Етнографски списи. Београд, 1972.</w:t>
      </w:r>
    </w:p>
    <w:p w:rsidR="00000000" w:rsidDel="00000000" w:rsidP="00000000" w:rsidRDefault="00000000" w:rsidRPr="00000000" w14:paraId="00000017">
      <w:pPr>
        <w:spacing w:after="0" w:before="0" w:lineRule="auto"/>
        <w:ind w:firstLine="720"/>
        <w:rPr/>
      </w:pPr>
      <w:r w:rsidDel="00000000" w:rsidR="00000000" w:rsidRPr="00000000">
        <w:rPr>
          <w:i w:val="1"/>
          <w:iCs w:val="1"/>
          <w:rtl w:val="0"/>
        </w:rPr>
        <w:t xml:space="preserve">Лебда Р</w:t>
      </w:r>
      <w:r w:rsidDel="00000000" w:rsidR="00000000" w:rsidRPr="00000000">
        <w:rPr>
          <w:rtl w:val="0"/>
        </w:rPr>
        <w:t xml:space="preserve">. Изражавање вредности у текстовима читуља (на српском и пољском материјалу) // Славистика. 1998. № 2. С. 140–147.</w:t>
      </w:r>
    </w:p>
    <w:p w:rsidR="00000000" w:rsidDel="00000000" w:rsidP="00000000" w:rsidRDefault="00000000" w:rsidRPr="00000000" w14:paraId="00000018">
      <w:pPr>
        <w:spacing w:after="20" w:before="20" w:lineRule="auto"/>
        <w:ind w:firstLine="700"/>
        <w:rPr/>
      </w:pPr>
      <w:r w:rsidDel="00000000" w:rsidR="00000000" w:rsidRPr="00000000">
        <w:rPr>
          <w:i w:val="1"/>
          <w:iCs w:val="1"/>
          <w:rtl w:val="0"/>
        </w:rPr>
        <w:t xml:space="preserve">Надточий Е. Е</w:t>
      </w:r>
      <w:r w:rsidDel="00000000" w:rsidR="00000000" w:rsidRPr="00000000">
        <w:rPr>
          <w:rtl w:val="0"/>
        </w:rPr>
        <w:t xml:space="preserve">. К истории становления жанра некролога в русской литературе: некрологи Н. М. Карамзина // Вестник Томского государственного университета. Филология. 2021. № 463. С. 42–46.</w:t>
      </w:r>
    </w:p>
    <w:p w:rsidR="00000000" w:rsidDel="00000000" w:rsidP="00000000" w:rsidRDefault="00000000" w:rsidRPr="00000000" w14:paraId="00000019">
      <w:pPr>
        <w:spacing w:after="20" w:before="20" w:lineRule="auto"/>
        <w:ind w:firstLine="700"/>
        <w:rPr/>
      </w:pPr>
      <w:r w:rsidDel="00000000" w:rsidR="00000000" w:rsidRPr="00000000">
        <w:rPr>
          <w:i w:val="1"/>
          <w:iCs w:val="1"/>
          <w:rtl w:val="0"/>
        </w:rPr>
        <w:t xml:space="preserve">Обрадовић </w:t>
      </w:r>
      <w:r w:rsidDel="00000000" w:rsidR="00000000" w:rsidRPr="00000000">
        <w:rPr>
          <w:i w:val="1"/>
          <w:iCs w:val="1"/>
          <w:rtl w:val="0"/>
        </w:rPr>
        <w:t xml:space="preserve">М.</w:t>
      </w:r>
      <w:r w:rsidDel="00000000" w:rsidR="00000000" w:rsidRPr="00000000">
        <w:rPr>
          <w:i w:val="1"/>
          <w:iCs w:val="1"/>
          <w:rtl w:val="0"/>
        </w:rPr>
        <w:t xml:space="preserve"> Р</w:t>
      </w:r>
      <w:r w:rsidDel="00000000" w:rsidR="00000000" w:rsidRPr="00000000">
        <w:rPr>
          <w:rtl w:val="0"/>
        </w:rPr>
        <w:t xml:space="preserve">. Новинске читуље као етнолингвистичке чињенице, Крагујевац, 2016.</w:t>
      </w:r>
    </w:p>
    <w:p w:rsidR="00000000" w:rsidDel="00000000" w:rsidP="00000000" w:rsidRDefault="00000000" w:rsidRPr="00000000" w14:paraId="0000001A">
      <w:pPr>
        <w:spacing w:after="20" w:before="20" w:lineRule="auto"/>
        <w:ind w:firstLine="700"/>
        <w:rPr/>
      </w:pPr>
      <w:r w:rsidDel="00000000" w:rsidR="00000000" w:rsidRPr="00000000">
        <w:rPr>
          <w:i w:val="1"/>
          <w:iCs w:val="1"/>
          <w:rtl w:val="0"/>
        </w:rPr>
        <w:t xml:space="preserve">Седакова И. А</w:t>
      </w:r>
      <w:r w:rsidDel="00000000" w:rsidR="00000000" w:rsidRPr="00000000">
        <w:rPr>
          <w:rtl w:val="0"/>
        </w:rPr>
        <w:t xml:space="preserve">. Болгарские печатные листки-некрологи как тексты: традиции и инновации // Живая старина. 2018. № 1(97). С. 2–6.</w:t>
      </w:r>
    </w:p>
    <w:p w:rsidR="00000000" w:rsidDel="00000000" w:rsidP="00000000" w:rsidRDefault="00000000" w:rsidRPr="00000000" w14:paraId="0000001B">
      <w:pPr>
        <w:spacing w:after="20" w:before="20" w:lineRule="auto"/>
        <w:ind w:firstLine="700"/>
        <w:rPr/>
      </w:pPr>
      <w:r w:rsidDel="00000000" w:rsidR="00000000" w:rsidRPr="00000000">
        <w:rPr>
          <w:i w:val="1"/>
          <w:iCs w:val="1"/>
          <w:rtl w:val="0"/>
        </w:rPr>
        <w:t xml:space="preserve">Седакова И. А</w:t>
      </w:r>
      <w:r w:rsidDel="00000000" w:rsidR="00000000" w:rsidRPr="00000000">
        <w:rPr>
          <w:rtl w:val="0"/>
        </w:rPr>
        <w:t xml:space="preserve">. Вариативность ритуала и его кодов: оповещение у славян // Ethnolinguistica Slavica: к 90-летию академика Никиты Ильича Толстого / отв. ред. С. М. Толстая. М., 2013. С. 101–118.</w:t>
      </w:r>
    </w:p>
    <w:p w:rsidR="00000000" w:rsidDel="00000000" w:rsidP="00000000" w:rsidRDefault="00000000" w:rsidRPr="00000000" w14:paraId="0000001C">
      <w:pPr>
        <w:spacing w:after="20" w:before="20" w:lineRule="auto"/>
        <w:ind w:firstLine="700"/>
        <w:rPr/>
      </w:pPr>
      <w:r w:rsidDel="00000000" w:rsidR="00000000" w:rsidRPr="00000000">
        <w:rPr>
          <w:i w:val="1"/>
          <w:iCs w:val="1"/>
          <w:rtl w:val="0"/>
        </w:rPr>
        <w:t xml:space="preserve">Тодоровић С. Д</w:t>
      </w:r>
      <w:r w:rsidDel="00000000" w:rsidR="00000000" w:rsidRPr="00000000">
        <w:rPr>
          <w:rtl w:val="0"/>
        </w:rPr>
        <w:t xml:space="preserve">. Језичко-идеолошка прича о мртвима: лингвокултуролошке карактеристике новинских читуља. Филолошко-уметнички факултет. Крагујевац, 2014. С. 79–90.</w:t>
      </w:r>
    </w:p>
    <w:p w:rsidR="00000000" w:rsidDel="00000000" w:rsidP="00000000" w:rsidRDefault="00000000" w:rsidRPr="00000000" w14:paraId="0000001D">
      <w:pPr>
        <w:spacing w:after="20" w:before="20" w:lineRule="auto"/>
        <w:ind w:firstLine="700"/>
        <w:rPr/>
      </w:pPr>
      <w:r w:rsidDel="00000000" w:rsidR="00000000" w:rsidRPr="00000000">
        <w:rPr>
          <w:i w:val="1"/>
          <w:iCs w:val="1"/>
          <w:rtl w:val="0"/>
        </w:rPr>
        <w:t xml:space="preserve">Толстая С. М</w:t>
      </w:r>
      <w:r w:rsidDel="00000000" w:rsidR="00000000" w:rsidRPr="00000000">
        <w:rPr>
          <w:rtl w:val="0"/>
        </w:rPr>
        <w:t xml:space="preserve">. Поминки // Славянские древности: этнолингв. словарь: в 5 т. / под общ. ред. Н. И. Толстого. Т. 4. М.: Международные отношения, 2009. С. 162–169.</w:t>
      </w:r>
    </w:p>
    <w:p w:rsidR="00000000" w:rsidDel="00000000" w:rsidP="00000000" w:rsidRDefault="00000000" w:rsidRPr="00000000" w14:paraId="0000001E">
      <w:pPr>
        <w:spacing w:after="20" w:before="20" w:lineRule="auto"/>
        <w:ind w:firstLine="700"/>
        <w:rPr/>
      </w:pPr>
      <w:r w:rsidDel="00000000" w:rsidR="00000000" w:rsidRPr="00000000">
        <w:rPr>
          <w:i w:val="1"/>
          <w:iCs w:val="1"/>
          <w:rtl w:val="0"/>
        </w:rPr>
        <w:t xml:space="preserve">Толстая С. М.</w:t>
      </w:r>
      <w:r w:rsidDel="00000000" w:rsidR="00000000" w:rsidRPr="00000000">
        <w:rPr>
          <w:rtl w:val="0"/>
        </w:rPr>
        <w:t xml:space="preserve"> Мир живых и мир мертвых: формула сосуществования // Славяноведение 2000, № 6. С. 14–20.</w:t>
      </w:r>
    </w:p>
    <w:p w:rsidR="00000000" w:rsidDel="00000000" w:rsidP="00000000" w:rsidRDefault="00000000" w:rsidRPr="00000000" w14:paraId="0000001F">
      <w:pPr>
        <w:spacing w:after="20" w:before="20" w:lineRule="auto"/>
        <w:ind w:firstLine="700"/>
        <w:rPr/>
      </w:pPr>
      <w:r w:rsidDel="00000000" w:rsidR="00000000" w:rsidRPr="00000000">
        <w:rPr>
          <w:i w:val="1"/>
          <w:iCs w:val="1"/>
          <w:rtl w:val="0"/>
        </w:rPr>
        <w:t xml:space="preserve">Чоловић И</w:t>
      </w:r>
      <w:r w:rsidDel="00000000" w:rsidR="00000000" w:rsidRPr="00000000">
        <w:rPr>
          <w:rtl w:val="0"/>
        </w:rPr>
        <w:t xml:space="preserve">. Дивља књижевност. Београд, 1982.</w:t>
      </w:r>
    </w:p>
    <w:p w:rsidR="00000000" w:rsidDel="00000000" w:rsidP="00000000" w:rsidRDefault="00000000" w:rsidRPr="00000000" w14:paraId="00000020">
      <w:pPr>
        <w:spacing w:after="20" w:before="20" w:lineRule="auto"/>
        <w:ind w:firstLine="700"/>
        <w:rPr/>
      </w:pPr>
      <w:r w:rsidDel="00000000" w:rsidR="00000000" w:rsidRPr="00000000">
        <w:rPr>
          <w:i w:val="1"/>
          <w:iCs w:val="1"/>
          <w:rtl w:val="0"/>
        </w:rPr>
        <w:t xml:space="preserve">Чоловић И</w:t>
      </w:r>
      <w:r w:rsidDel="00000000" w:rsidR="00000000" w:rsidRPr="00000000">
        <w:rPr>
          <w:rtl w:val="0"/>
        </w:rPr>
        <w:t xml:space="preserve">. Дивља књижевност: етнолингвистичко проучавање паралитературе. Београд, 1985.</w:t>
      </w:r>
    </w:p>
    <w:p w:rsidR="00000000" w:rsidDel="00000000" w:rsidP="00000000" w:rsidRDefault="00000000" w:rsidRPr="00000000" w14:paraId="00000021">
      <w:pPr>
        <w:spacing w:after="20" w:before="20" w:lineRule="auto"/>
        <w:ind w:firstLine="700"/>
        <w:rPr/>
      </w:pPr>
      <w:r w:rsidDel="00000000" w:rsidR="00000000" w:rsidRPr="00000000">
        <w:rPr>
          <w:i w:val="1"/>
          <w:iCs w:val="1"/>
          <w:rtl w:val="0"/>
        </w:rPr>
        <w:t xml:space="preserve">Ђурић В</w:t>
      </w:r>
      <w:r w:rsidDel="00000000" w:rsidR="00000000" w:rsidRPr="00000000">
        <w:rPr>
          <w:rtl w:val="0"/>
        </w:rPr>
        <w:t xml:space="preserve">. Тужбалице у светској књижевности. Београд, 1940.</w:t>
      </w:r>
    </w:p>
    <w:p w:rsidR="00000000" w:rsidDel="00000000" w:rsidP="00000000" w:rsidRDefault="00000000" w:rsidRPr="00000000" w14:paraId="00000022">
      <w:pPr>
        <w:spacing w:after="20" w:before="20" w:lineRule="auto"/>
        <w:ind w:firstLine="700"/>
        <w:rPr>
          <w:color w:val="0000ff"/>
          <w:highlight w:val="white"/>
          <w:u w:val="singl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URL: </w:t>
        </w:r>
      </w:hyperlink>
      <w:hyperlink r:id="rId7">
        <w:r w:rsidDel="00000000" w:rsidR="00000000" w:rsidRPr="00000000">
          <w:rPr>
            <w:color w:val="0000ff"/>
            <w:highlight w:val="white"/>
            <w:u w:val="single"/>
            <w:rtl w:val="0"/>
          </w:rPr>
          <w:t xml:space="preserve">www.citulje.politika.rs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" w:before="20" w:lineRule="auto"/>
        <w:ind w:firstLine="700"/>
        <w:rPr>
          <w:color w:val="0000ff"/>
          <w:u w:val="singl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URL: </w:t>
        </w:r>
      </w:hyperlink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https://umrlice.dan.co.me/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60" w:before="0" w:lineRule="auto"/>
        <w:ind w:firstLine="720"/>
        <w:rPr>
          <w:color w:val="0000ff"/>
          <w:u w:val="single"/>
        </w:rPr>
      </w:pPr>
      <w:hyperlink r:id="rId10">
        <w:r w:rsidDel="00000000" w:rsidR="00000000" w:rsidRPr="00000000">
          <w:rPr>
            <w:u w:val="single"/>
            <w:rtl w:val="0"/>
          </w:rPr>
          <w:t xml:space="preserve">URL: </w:t>
        </w:r>
      </w:hyperlink>
      <w:hyperlink r:id="rId11">
        <w:r w:rsidDel="00000000" w:rsidR="00000000" w:rsidRPr="00000000">
          <w:rPr>
            <w:color w:val="0000ff"/>
            <w:u w:val="single"/>
            <w:rtl w:val="0"/>
          </w:rPr>
          <w:t xml:space="preserve">https://osmrtnica.com.hr/groblja/katolicko-groblje-rastani/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" w:before="20" w:lineRule="auto"/>
        <w:ind w:firstLine="700"/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URL: </w:t>
        </w:r>
      </w:hyperlink>
      <w:hyperlink r:id="rId13">
        <w:r w:rsidDel="00000000" w:rsidR="00000000" w:rsidRPr="00000000">
          <w:rPr>
            <w:color w:val="0000ff"/>
            <w:u w:val="single"/>
            <w:rtl w:val="0"/>
          </w:rPr>
          <w:t xml:space="preserve">https://www.portal.hr/osmrtnice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r"/>
      </w:rPr>
    </w:rPrDefault>
    <w:pPrDefault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firstLine="850.3937007874017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osmrtnica.com.hr/groblja/katolicko-groblje-rastani/" TargetMode="External"/><Relationship Id="rId10" Type="http://schemas.openxmlformats.org/officeDocument/2006/relationships/hyperlink" Target="https://osmrtnica.com.hr/groblja/katolicko-groblje-rastani/" TargetMode="External"/><Relationship Id="rId13" Type="http://schemas.openxmlformats.org/officeDocument/2006/relationships/hyperlink" Target="https://www.portal.hr/osmrtnice" TargetMode="External"/><Relationship Id="rId12" Type="http://schemas.openxmlformats.org/officeDocument/2006/relationships/hyperlink" Target="https://www.portal.hr/osmrtnic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mrlice.dan.co.me/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citulje.politika.rs" TargetMode="External"/><Relationship Id="rId7" Type="http://schemas.openxmlformats.org/officeDocument/2006/relationships/hyperlink" Target="http://www.citulje.politika.rs" TargetMode="External"/><Relationship Id="rId8" Type="http://schemas.openxmlformats.org/officeDocument/2006/relationships/hyperlink" Target="https://umrlice.dan.co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