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ind w:firstLine="709"/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lang w:val="ru-RU"/>
        </w:rPr>
        <w:t>Мотив безумия в политической инвективе Алкея</w:t>
      </w:r>
    </w:p>
    <w:p>
      <w:pPr>
        <w:pStyle w:val="Normal"/>
        <w:bidi w:val="0"/>
        <w:spacing w:lineRule="auto" w:line="240"/>
        <w:ind w:firstLine="7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/>
        <w:ind w:firstLine="709"/>
        <w:jc w:val="center"/>
        <w:rPr>
          <w:color w:val="000000"/>
        </w:rPr>
      </w:pPr>
      <w:r>
        <w:rPr>
          <w:rFonts w:ascii="Times New Roman" w:hAnsi="Times New Roman"/>
          <w:color w:val="000000"/>
        </w:rPr>
        <w:t>Судакова Екатерина Вадимовна</w:t>
      </w:r>
    </w:p>
    <w:p>
      <w:pPr>
        <w:pStyle w:val="Normal"/>
        <w:bidi w:val="0"/>
        <w:spacing w:lineRule="auto" w:line="240"/>
        <w:ind w:firstLine="7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/>
        <w:ind w:firstLine="709"/>
        <w:jc w:val="center"/>
        <w:rPr>
          <w:color w:val="000000"/>
        </w:rPr>
      </w:pPr>
      <w:r>
        <w:rPr>
          <w:rFonts w:ascii="Times New Roman" w:hAnsi="Times New Roman"/>
          <w:color w:val="000000"/>
        </w:rPr>
        <w:t>Студентка Московского государственного университета имени М. В. Ломоносова, Москва, Россия</w:t>
      </w:r>
    </w:p>
    <w:p>
      <w:pPr>
        <w:pStyle w:val="Normal"/>
        <w:bidi w:val="0"/>
        <w:spacing w:lineRule="auto" w:line="240"/>
        <w:ind w:firstLine="7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/>
        <w:ind w:firstLine="709"/>
        <w:jc w:val="center"/>
        <w:rPr>
          <w:color w:val="000000"/>
        </w:rPr>
      </w:pPr>
      <w:hyperlink r:id="rId2">
        <w:r>
          <w:rPr>
            <w:rStyle w:val="Hyperlink"/>
            <w:rFonts w:ascii="Times New Roman" w:hAnsi="Times New Roman"/>
            <w:color w:val="000000"/>
          </w:rPr>
          <w:t>sudakova.ekatherina@yandex.ru</w:t>
        </w:r>
      </w:hyperlink>
    </w:p>
    <w:p>
      <w:pPr>
        <w:pStyle w:val="Normal"/>
        <w:bidi w:val="0"/>
        <w:spacing w:lineRule="auto" w:line="24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bidi w:val="0"/>
        <w:spacing w:lineRule="auto" w:line="240"/>
        <w:ind w:firstLine="709"/>
        <w:jc w:val="both"/>
        <w:rPr>
          <w:rFonts w:ascii="Times New Roman" w:hAnsi="Times New Roman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Normal"/>
        <w:bidi w:val="0"/>
        <w:spacing w:lineRule="auto" w:line="240"/>
        <w:ind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  <w:t xml:space="preserve">В сообщении предлагается выделить мотив безумия как один из значимых мотивов политической инвективы Алкея на примере преимущественно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фр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 xml:space="preserve">. 70, 141 и 303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n-US"/>
        </w:rPr>
        <w:t xml:space="preserve">A 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(</w:t>
      </w:r>
      <w:r>
        <w:rPr>
          <w:rFonts w:ascii="Times New Roman" w:hAnsi="Times New Roman"/>
          <w:b w:val="false"/>
          <w:bCs w:val="false"/>
          <w:color w:val="000000"/>
        </w:rPr>
        <w:t xml:space="preserve">Voigt). Как показывают эти фрагменты, тема безумия, традиционная, например, для римской инвективы, разрабатывается уже у Алкея, </w:t>
      </w:r>
      <w:r>
        <w:rPr>
          <w:rFonts w:ascii="Times New Roman" w:hAnsi="Times New Roman"/>
          <w:b w:val="false"/>
          <w:bCs w:val="false"/>
          <w:color w:val="auto"/>
          <w:lang w:val="el-GR"/>
        </w:rPr>
        <w:t xml:space="preserve">– </w:t>
      </w:r>
      <w:r>
        <w:rPr>
          <w:rFonts w:ascii="Times New Roman" w:hAnsi="Times New Roman"/>
          <w:b w:val="false"/>
          <w:bCs w:val="false"/>
          <w:color w:val="auto"/>
          <w:lang w:val="ru-RU"/>
        </w:rPr>
        <w:t>причем безумие оказывается у него не просто критерием «аморальности» оппонента (ср. Cic. Catil. 1.1), но именно мотивом, получающим самостоятельное развитие.</w:t>
      </w:r>
    </w:p>
    <w:p>
      <w:pPr>
        <w:pStyle w:val="Normal"/>
        <w:bidi w:val="0"/>
        <w:spacing w:lineRule="auto" w:line="240"/>
        <w:ind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  <w:t>Помимо широко известного образа корабля, политические фрагменты Алкея знамениты прежде всего инвективой в адрес его противников. В частности, Питтаку и его сподвижникам поэт предъявляет обвинения в неумеренном поведении (</w:t>
      </w:r>
      <w:r>
        <w:rPr>
          <w:rFonts w:ascii="Times New Roman" w:hAnsi="Times New Roman"/>
          <w:b w:val="false"/>
          <w:bCs w:val="false"/>
          <w:color w:val="000000"/>
          <w:lang w:val="en-US"/>
        </w:rPr>
        <w:t>фр</w:t>
      </w:r>
      <w:r>
        <w:rPr>
          <w:rFonts w:ascii="Times New Roman" w:hAnsi="Times New Roman"/>
          <w:b w:val="false"/>
          <w:bCs w:val="false"/>
          <w:color w:val="000000"/>
        </w:rPr>
        <w:t xml:space="preserve">. 70, 72), злоупотреблении властью (ср. фр. 70.7: </w:t>
      </w:r>
      <w:r>
        <w:rPr>
          <w:rFonts w:ascii="Times New Roman" w:hAnsi="Times New Roman"/>
          <w:b w:val="false"/>
          <w:bCs w:val="false"/>
          <w:color w:val="auto"/>
          <w:lang w:val="en-US"/>
        </w:rPr>
        <w:t>[Πιττακὸς</w:t>
      </w:r>
      <w:r>
        <w:rPr>
          <w:rFonts w:ascii="Times New Roman" w:hAnsi="Times New Roman"/>
          <w:b w:val="false"/>
          <w:bCs w:val="false"/>
          <w:color w:val="auto"/>
          <w:lang w:val="el-GR"/>
        </w:rPr>
        <w:t xml:space="preserve"> – </w:t>
      </w:r>
      <w:r>
        <w:rPr>
          <w:rFonts w:ascii="Times New Roman" w:hAnsi="Times New Roman"/>
          <w:b w:val="false"/>
          <w:bCs w:val="false"/>
          <w:i/>
          <w:iCs/>
          <w:color w:val="auto"/>
          <w:lang w:val="ru-RU"/>
        </w:rPr>
        <w:t>Е. С.</w:t>
      </w:r>
      <w:r>
        <w:rPr>
          <w:rFonts w:ascii="Times New Roman" w:hAnsi="Times New Roman"/>
          <w:b w:val="false"/>
          <w:bCs w:val="false"/>
          <w:color w:val="auto"/>
          <w:lang w:val="en-US"/>
        </w:rPr>
        <w:t xml:space="preserve">] δαπτέτω πόλιν </w:t>
      </w:r>
      <w:r>
        <w:rPr>
          <w:rFonts w:ascii="Times New Roman" w:hAnsi="Times New Roman"/>
          <w:b w:val="false"/>
          <w:bCs w:val="false"/>
          <w:color w:val="000000"/>
        </w:rPr>
        <w:t>и фр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. 129.</w:t>
      </w:r>
      <w:r>
        <w:rPr>
          <w:rFonts w:ascii="Times New Roman" w:hAnsi="Times New Roman"/>
          <w:b w:val="false"/>
          <w:bCs w:val="false"/>
          <w:color w:val="auto"/>
        </w:rPr>
        <w:t>23</w:t>
      </w:r>
      <w:r>
        <w:rPr>
          <w:rFonts w:ascii="Times New Roman" w:hAnsi="Times New Roman"/>
          <w:b w:val="false"/>
          <w:bCs w:val="false"/>
          <w:color w:val="auto"/>
          <w:lang w:val="el-GR"/>
        </w:rPr>
        <w:t>–</w:t>
      </w:r>
      <w:r>
        <w:rPr>
          <w:rFonts w:ascii="Times New Roman" w:hAnsi="Times New Roman"/>
          <w:b w:val="false"/>
          <w:bCs w:val="false"/>
          <w:color w:val="auto"/>
        </w:rPr>
        <w:t>24: δάπτει / τὰν πόλιν), физических и нравственных недостатках (ср. фр. 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429 о Питтаке; также фр. 129.21, 129.22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l-GR"/>
        </w:rPr>
        <w:t>–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23 о нем: ὀ φύσγων; βραϊδίως πόσιν / ἔ]μβαις ἐπ’ ὀρκίοισι</w:t>
      </w:r>
      <w:r>
        <w:rPr>
          <w:rFonts w:ascii="Times New Roman" w:hAnsi="Times New Roman"/>
          <w:b w:val="false"/>
          <w:bCs w:val="false"/>
          <w:color w:val="auto"/>
        </w:rPr>
        <w:t>). Особенно часто встречается обвинение в низком происхождении (ср. фр. 67, 72, 75, 106, 348)</w:t>
      </w:r>
      <w:r>
        <w:rPr>
          <w:rFonts w:ascii="Times New Roman" w:hAnsi="Times New Roman"/>
          <w:b w:val="false"/>
          <w:bCs w:val="false"/>
          <w:color w:val="auto"/>
          <w:lang w:val="el-GR"/>
        </w:rPr>
        <w:t>.</w:t>
      </w:r>
      <w:r>
        <w:rPr>
          <w:rFonts w:ascii="Times New Roman" w:hAnsi="Times New Roman"/>
          <w:b w:val="false"/>
          <w:bCs w:val="false"/>
          <w:color w:val="auto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</w:rPr>
        <w:t>Последнее,</w:t>
      </w:r>
      <w:r>
        <w:rPr>
          <w:rFonts w:ascii="Times New Roman" w:hAnsi="Times New Roman"/>
          <w:b w:val="false"/>
          <w:bCs w:val="false"/>
          <w:color w:val="auto"/>
        </w:rPr>
        <w:t xml:space="preserve"> впрочем, не </w:t>
      </w:r>
      <w:r>
        <w:rPr>
          <w:rFonts w:ascii="Times New Roman" w:hAnsi="Times New Roman"/>
          <w:b w:val="false"/>
          <w:bCs w:val="false"/>
          <w:color w:val="000000"/>
        </w:rPr>
        <w:t>обязательно должно</w:t>
      </w:r>
      <w:r>
        <w:rPr>
          <w:rFonts w:ascii="Times New Roman" w:hAnsi="Times New Roman"/>
          <w:b w:val="false"/>
          <w:bCs w:val="false"/>
          <w:color w:val="000000"/>
          <w:lang w:val="el-GR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>иметь</w:t>
      </w:r>
      <w:r>
        <w:rPr>
          <w:rFonts w:ascii="Times New Roman" w:hAnsi="Times New Roman"/>
          <w:b w:val="false"/>
          <w:bCs w:val="false"/>
          <w:color w:val="000000"/>
        </w:rPr>
        <w:t xml:space="preserve"> под собой реальные основания, поскольку является общепринятой практикой в античной инвективе, «которую мы редко принимаем за чистую монету» [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lang w:val="en-US"/>
        </w:rPr>
        <w:t>Kurke</w:t>
      </w:r>
      <w:r>
        <w:rPr>
          <w:rFonts w:ascii="Times New Roman" w:hAnsi="Times New Roman"/>
          <w:b w:val="false"/>
          <w:bCs w:val="false"/>
          <w:color w:val="000000"/>
        </w:rPr>
        <w:t>: </w:t>
      </w:r>
      <w:r>
        <w:rPr>
          <w:rFonts w:ascii="Times New Roman" w:hAnsi="Times New Roman"/>
          <w:b w:val="false"/>
          <w:bCs w:val="false"/>
          <w:color w:val="000000"/>
          <w:lang w:val="en-US"/>
        </w:rPr>
        <w:t>81, n. 24</w:t>
      </w:r>
      <w:r>
        <w:rPr>
          <w:rFonts w:ascii="Times New Roman" w:hAnsi="Times New Roman"/>
          <w:b w:val="false"/>
          <w:bCs w:val="false"/>
          <w:color w:val="000000"/>
        </w:rPr>
        <w:t xml:space="preserve">]. 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>Точно так же стандартным приемом являются и argumenta ad hominem personam в целом. Однако, говоря об обвинении в безумии, интересно отметить, что Алкей не просто наделяет этим качеством Питтака и его сторонников, но и сам их приход к власти связывает с помешательством (ἡ αὐάτα, атт. ἡ ἄτη), наведенным на жителей города кем-то из богов (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фр. 70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>).</w:t>
      </w:r>
    </w:p>
    <w:p>
      <w:pPr>
        <w:pStyle w:val="Normal"/>
        <w:bidi w:val="0"/>
        <w:spacing w:lineRule="auto" w:line="240"/>
        <w:ind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lang w:val="ru-RU"/>
        </w:rPr>
        <w:t>Прежде всего, самого Питтака Алкей называет «жадно стремящимся» (</w:t>
      </w:r>
      <w:r>
        <w:rPr>
          <w:rFonts w:ascii="Times New Roman" w:hAnsi="Times New Roman"/>
          <w:b w:val="false"/>
          <w:bCs w:val="false"/>
          <w:color w:val="000000"/>
          <w:lang w:val="el-GR"/>
        </w:rPr>
        <w:t>ὁ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 xml:space="preserve"> μαιόμενος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 xml:space="preserve">) к власти. В этом стремлении (фр. 141.3: ὤ]νηρ οὖτ[ος ὀ μαιόμενος τὸ μέγα κρέτος) проявляется его одержимость; и здесь интересно отметить, что в большинстве кодексов, цитирующих это место, встречается </w:t>
      </w:r>
      <w:r>
        <w:rPr>
          <w:rFonts w:ascii="Times New Roman" w:hAnsi="Times New Roman"/>
          <w:b w:val="false"/>
          <w:bCs w:val="false"/>
          <w:color w:val="000000"/>
          <w:lang w:val="en-US"/>
        </w:rPr>
        <w:t>(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>в основном исправляемое</w:t>
      </w:r>
      <w:r>
        <w:rPr>
          <w:rFonts w:ascii="Times New Roman" w:hAnsi="Times New Roman"/>
          <w:b w:val="false"/>
          <w:bCs w:val="false"/>
          <w:color w:val="000000"/>
          <w:lang w:val="en-US"/>
        </w:rPr>
        <w:t xml:space="preserve">) 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>написание «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n-US"/>
        </w:rPr>
        <w:t>μαι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ν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n-US"/>
        </w:rPr>
        <w:t>όμενος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 xml:space="preserve">»,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lang w:val="ru-RU"/>
        </w:rPr>
        <w:t>«</w:t>
      </w:r>
      <w:r>
        <w:rPr>
          <w:rFonts w:ascii="Times New Roman" w:hAnsi="Times New Roman"/>
          <w:b w:val="false"/>
          <w:bCs w:val="false"/>
          <w:i/>
          <w:iCs/>
          <w:color w:val="000000"/>
          <w:lang w:val="ru-RU"/>
        </w:rPr>
        <w:t>безумный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lang w:val="ru-RU"/>
        </w:rPr>
        <w:t>»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 xml:space="preserve"> [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US"/>
        </w:rPr>
        <w:t>Voigt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>: </w:t>
      </w:r>
      <w:r>
        <w:rPr>
          <w:rFonts w:ascii="Times New Roman" w:hAnsi="Times New Roman"/>
          <w:b w:val="false"/>
          <w:bCs w:val="false"/>
          <w:color w:val="000000"/>
          <w:lang w:val="en-US"/>
        </w:rPr>
        <w:t>243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 xml:space="preserve">]. Достигнув же власти, предостерегает поэт, Питтак сразу же все перевернет (или: разрушит) в городе, который и без того уже неустойчив и </w:t>
      </w:r>
      <w:r>
        <w:rPr>
          <w:rFonts w:ascii="Times New Roman" w:hAnsi="Times New Roman"/>
          <w:b w:val="false"/>
          <w:bCs w:val="false"/>
          <w:i/>
          <w:iCs/>
          <w:color w:val="000000"/>
          <w:lang w:val="ru-RU"/>
        </w:rPr>
        <w:t>сам склоняется к этому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 xml:space="preserve"> (фр. 141.4: ὀν]τρέψ[ει τάχα τὰν πόλιν· ἀ δ’ ἔχεται ῤόπας; ср. комментарий в схолии к «Осам» Аристофана: «</w:t>
      </w:r>
      <w:r>
        <w:rPr>
          <w:rFonts w:ascii="Times New Roman" w:hAnsi="Times New Roman"/>
          <w:b w:val="false"/>
          <w:bCs w:val="false"/>
          <w:color w:val="000000"/>
          <w:lang w:val="el-GR"/>
        </w:rPr>
        <w:t>ἀ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>νατρέψεις ταχέως τὴν πόλιν, ἣτις πρὸς τούτο ῥέπει» [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US"/>
        </w:rPr>
        <w:t>Voigt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>: </w:t>
      </w:r>
      <w:r>
        <w:rPr>
          <w:rFonts w:ascii="Times New Roman" w:hAnsi="Times New Roman"/>
          <w:b w:val="false"/>
          <w:bCs w:val="false"/>
          <w:color w:val="000000"/>
          <w:lang w:val="en-US"/>
        </w:rPr>
        <w:t>243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 xml:space="preserve">]). </w:t>
      </w:r>
    </w:p>
    <w:p>
      <w:pPr>
        <w:pStyle w:val="Normal"/>
        <w:bidi w:val="0"/>
        <w:spacing w:lineRule="auto" w:line="240"/>
        <w:ind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lang w:val="ru-RU"/>
        </w:rPr>
        <w:t xml:space="preserve">Более подробно неблагоприятное состояние города описывается в уже упомянутом фр. 70: это </w:t>
      </w:r>
      <w:r>
        <w:rPr>
          <w:rFonts w:ascii="Times New Roman" w:hAnsi="Times New Roman"/>
          <w:b w:val="false"/>
          <w:bCs w:val="false"/>
          <w:color w:val="auto"/>
          <w:lang w:val="ru-RU"/>
        </w:rPr>
        <w:t>«</w:t>
      </w:r>
      <w:r>
        <w:rPr>
          <w:rFonts w:ascii="Times New Roman" w:hAnsi="Times New Roman"/>
          <w:b w:val="false"/>
          <w:bCs w:val="false"/>
          <w:i/>
          <w:iCs/>
          <w:color w:val="auto"/>
          <w:lang w:val="ru-RU"/>
        </w:rPr>
        <w:t>пожирающая душу</w:t>
      </w:r>
      <w:r>
        <w:rPr>
          <w:rFonts w:ascii="Times New Roman" w:hAnsi="Times New Roman"/>
          <w:b w:val="false"/>
          <w:bCs w:val="false"/>
          <w:color w:val="auto"/>
          <w:lang w:val="ru-RU"/>
        </w:rPr>
        <w:t>» (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>θυμοβόρ</w:t>
      </w:r>
      <w:r>
        <w:rPr>
          <w:rFonts w:ascii="Times New Roman" w:hAnsi="Times New Roman"/>
          <w:b w:val="false"/>
          <w:bCs w:val="false"/>
          <w:color w:val="000000"/>
          <w:lang w:val="el-GR"/>
        </w:rPr>
        <w:t>η</w:t>
      </w:r>
      <w:r>
        <w:rPr>
          <w:rFonts w:ascii="Times New Roman" w:hAnsi="Times New Roman"/>
          <w:b w:val="false"/>
          <w:bCs w:val="false"/>
          <w:color w:val="auto"/>
          <w:lang w:val="ru-RU"/>
        </w:rPr>
        <w:t xml:space="preserve">) распря и междоусобная борьба (фр. 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>70.10</w:t>
      </w:r>
      <w:r>
        <w:rPr>
          <w:rFonts w:ascii="Times New Roman" w:hAnsi="Times New Roman"/>
          <w:b w:val="false"/>
          <w:bCs w:val="false"/>
          <w:color w:val="auto"/>
          <w:lang w:val="el-GR"/>
        </w:rPr>
        <w:t>–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 xml:space="preserve">11: χαλάσσομεν δὲ τὰς θυμοβόρω λύας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/ ἐμφύλω τε μάχας…</w:t>
      </w:r>
      <w:r>
        <w:rPr>
          <w:rFonts w:ascii="Times New Roman" w:hAnsi="Times New Roman"/>
          <w:b w:val="false"/>
          <w:bCs w:val="false"/>
          <w:color w:val="auto"/>
          <w:lang w:val="ru-RU"/>
        </w:rPr>
        <w:t xml:space="preserve">), которые возбудил кто-то из богов-олимпийцев (фр. 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>70.11</w:t>
      </w:r>
      <w:r>
        <w:rPr>
          <w:rFonts w:ascii="Times New Roman" w:hAnsi="Times New Roman"/>
          <w:b w:val="false"/>
          <w:bCs w:val="false"/>
          <w:color w:val="auto"/>
          <w:lang w:val="el-GR"/>
        </w:rPr>
        <w:t>–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 xml:space="preserve">12: </w:t>
      </w:r>
      <w:r>
        <w:rPr>
          <w:rFonts w:ascii="Times New Roman" w:hAnsi="Times New Roman"/>
          <w:b w:val="false"/>
          <w:bCs w:val="false"/>
          <w:color w:val="auto"/>
          <w:lang w:val="ru-RU"/>
        </w:rPr>
        <w:t>…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τάν τις Ὀλυμπίων / ἔνωρσε…</w:t>
      </w:r>
      <w:r>
        <w:rPr>
          <w:rFonts w:ascii="Times New Roman" w:hAnsi="Times New Roman"/>
          <w:b w:val="false"/>
          <w:bCs w:val="false"/>
          <w:color w:val="auto"/>
          <w:lang w:val="ru-RU"/>
        </w:rPr>
        <w:t>), введя народ в «</w:t>
      </w:r>
      <w:r>
        <w:rPr>
          <w:rFonts w:ascii="Times New Roman" w:hAnsi="Times New Roman"/>
          <w:b w:val="false"/>
          <w:bCs w:val="false"/>
          <w:i/>
          <w:iCs/>
          <w:color w:val="auto"/>
          <w:lang w:val="ru-RU"/>
        </w:rPr>
        <w:t>безумие</w:t>
      </w:r>
      <w:r>
        <w:rPr>
          <w:rFonts w:ascii="Times New Roman" w:hAnsi="Times New Roman"/>
          <w:b w:val="false"/>
          <w:bCs w:val="false"/>
          <w:color w:val="auto"/>
          <w:lang w:val="ru-RU"/>
        </w:rPr>
        <w:t xml:space="preserve">» (фр. 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 xml:space="preserve">70.12: </w:t>
      </w:r>
      <w:r>
        <w:rPr>
          <w:rFonts w:ascii="Times New Roman" w:hAnsi="Times New Roman"/>
          <w:b w:val="false"/>
          <w:bCs w:val="false"/>
          <w:color w:val="auto"/>
          <w:lang w:val="ru-RU"/>
        </w:rPr>
        <w:t>…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δᾶμον μὲν εἰς ἀυάταν ἄγων</w:t>
      </w:r>
      <w:r>
        <w:rPr>
          <w:rFonts w:ascii="Times New Roman" w:hAnsi="Times New Roman"/>
          <w:b w:val="false"/>
          <w:bCs w:val="false"/>
          <w:color w:val="auto"/>
          <w:lang w:val="ru-RU"/>
        </w:rPr>
        <w:t xml:space="preserve">) </w:t>
      </w:r>
      <w:r>
        <w:rPr>
          <w:rFonts w:ascii="Times New Roman" w:hAnsi="Times New Roman"/>
          <w:b w:val="false"/>
          <w:bCs w:val="false"/>
          <w:color w:val="auto"/>
          <w:lang w:val="el-GR"/>
        </w:rPr>
        <w:t xml:space="preserve">– </w:t>
      </w:r>
      <w:r>
        <w:rPr>
          <w:rFonts w:ascii="Times New Roman" w:hAnsi="Times New Roman"/>
          <w:b w:val="false"/>
          <w:bCs w:val="false"/>
          <w:color w:val="auto"/>
          <w:lang w:val="ru-RU"/>
        </w:rPr>
        <w:t>и именно этим безумием обусловлено возвышение Питтака (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>фр. 70.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11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l-GR"/>
        </w:rPr>
        <w:t>–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 xml:space="preserve">13: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τις Ὀλυμπίων / &lt;</w:t>
      </w:r>
      <w:r>
        <w:rPr>
          <w:rFonts w:ascii="Times New Roman" w:hAnsi="Times New Roman"/>
          <w:b w:val="false"/>
          <w:bCs w:val="false"/>
          <w:color w:val="auto"/>
          <w:lang w:val="ru-RU"/>
        </w:rPr>
        <w:t xml:space="preserve">…&gt;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Φιττάκωι δὲ δίδοις κῦδος ἐπήρ[ατ]ο̣ν̣</w:t>
      </w:r>
      <w:r>
        <w:rPr>
          <w:rFonts w:ascii="Times New Roman" w:hAnsi="Times New Roman"/>
          <w:b w:val="false"/>
          <w:bCs w:val="false"/>
          <w:color w:val="auto"/>
          <w:lang w:val="ru-RU"/>
        </w:rPr>
        <w:t xml:space="preserve">). </w:t>
      </w:r>
    </w:p>
    <w:p>
      <w:pPr>
        <w:pStyle w:val="Normal"/>
        <w:bidi w:val="0"/>
        <w:spacing w:lineRule="auto" w:line="240"/>
        <w:ind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auto"/>
          <w:lang w:val="ru-RU"/>
        </w:rPr>
        <w:t xml:space="preserve">Примечателен и эпитет, используемый Алкеем в 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>70.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1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>3</w:t>
      </w:r>
      <w:r>
        <w:rPr>
          <w:rFonts w:ascii="Times New Roman" w:hAnsi="Times New Roman"/>
          <w:b w:val="false"/>
          <w:bCs w:val="false"/>
          <w:color w:val="auto"/>
          <w:lang w:val="ru-RU"/>
        </w:rPr>
        <w:t xml:space="preserve">: слово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 xml:space="preserve">κῦδος, обозначающее здесь «получаемую от богов силу, обеспечивающую… победу»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n-US"/>
        </w:rPr>
        <w:t>[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 xml:space="preserve">Степанцов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n-US"/>
        </w:rPr>
        <w:t>2022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: 70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n-US"/>
        </w:rPr>
        <w:t xml:space="preserve">],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 xml:space="preserve">впервые на известном нам материале определяется словом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l-GR"/>
        </w:rPr>
        <w:t>ἐπήρατος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n-US"/>
        </w:rPr>
        <w:t>[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Там же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n-US"/>
        </w:rPr>
        <w:t xml:space="preserve">].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Между тем «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l-GR"/>
        </w:rPr>
        <w:t>ἐπήρατος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» в этом контексте удобнее всего перевести как «</w:t>
      </w:r>
      <w:r>
        <w:rPr>
          <w:rFonts w:ascii="Times New Roman" w:hAnsi="Times New Roman"/>
          <w:b w:val="false"/>
          <w:bCs w:val="false"/>
          <w:i/>
          <w:iCs/>
          <w:color w:val="000000"/>
          <w:shd w:fill="auto" w:val="clear"/>
          <w:lang w:val="ru-RU"/>
        </w:rPr>
        <w:t>вожделенный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 xml:space="preserve">», что еще раз связывает с одержимостью само устремление Питтака к власти. </w:t>
      </w:r>
    </w:p>
    <w:p>
      <w:pPr>
        <w:pStyle w:val="Normal"/>
        <w:bidi w:val="0"/>
        <w:spacing w:lineRule="auto" w:line="240"/>
        <w:ind w:firstLine="709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О разоблачении неко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n-US"/>
        </w:rPr>
        <w:t>е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го безумца (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l-GR"/>
        </w:rPr>
        <w:t>ὁ 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μάργος) Алкей говорит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l-GR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n-US"/>
        </w:rPr>
        <w:t>и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l-GR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 xml:space="preserve">во фр. 303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n-US"/>
        </w:rPr>
        <w:t>A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 xml:space="preserve"> (τὸν μάρ̣γον̣ ὄν̣δ̣ε̣ιξα̣ι θέλω, 303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n-US"/>
        </w:rPr>
        <w:t>A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.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n-US"/>
        </w:rPr>
        <w:t>15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 xml:space="preserve">). Здесь, как предполагает Цомис, речь может идти о бывшем участнике гетерии Алкея, который впоследствии, как и Питтак, присоединился к противоборствующей фракции [Τσομής: 261]. </w:t>
      </w:r>
    </w:p>
    <w:p>
      <w:pPr>
        <w:pStyle w:val="Normal"/>
        <w:bidi w:val="0"/>
        <w:spacing w:lineRule="auto" w:line="240"/>
        <w:ind w:firstLine="737"/>
        <w:jc w:val="both"/>
        <w:rPr>
          <w:rFonts w:ascii="Times New Roman" w:hAnsi="Times New Roman"/>
          <w:color w:val="000000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 xml:space="preserve">Таким образом, детали обвинения позволяют нам предполагать, что Питтака и его сторонников (как активных сподвижников, так и приветствовавших его правление сограждан) 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Алкей объединял мотивом безумия. Проиллюстрируем значимость этого мотива.</w:t>
      </w:r>
    </w:p>
    <w:p>
      <w:pPr>
        <w:pStyle w:val="Normal"/>
        <w:bidi w:val="0"/>
        <w:spacing w:lineRule="auto" w:line="240"/>
        <w:ind w:firstLine="737"/>
        <w:jc w:val="both"/>
        <w:rPr>
          <w:rFonts w:ascii="Times New Roman" w:hAnsi="Times New Roman"/>
          <w:color w:val="000000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</w:rPr>
        <w:t>Исследователи соглашаются в том, что адресатом инвективы Алкея была его гетерия и он не имел цели задеть оппонента напрямую [Τσομής: 258]. Вместо этого он, как видим, создавал в кругу своих соратников представление о противнике, с одной стороны, как о безумце (ср. фр. 70 и 141) и нечестивце (ср. также фр.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 xml:space="preserve"> 298, </w:t>
      </w:r>
      <w:r>
        <w:rPr>
          <w:rFonts w:ascii="Times New Roman" w:hAnsi="Times New Roman"/>
          <w:b w:val="false"/>
          <w:bCs w:val="false"/>
          <w:color w:val="000000"/>
        </w:rPr>
        <w:t xml:space="preserve">использующий миф об Аяксе), опасном для судьбы города, вступить в борьбу с которым </w:t>
      </w:r>
      <w:r>
        <w:rPr>
          <w:rFonts w:ascii="Times New Roman" w:hAnsi="Times New Roman"/>
          <w:b w:val="false"/>
          <w:bCs w:val="false"/>
          <w:color w:val="auto"/>
          <w:lang w:val="el-GR"/>
        </w:rPr>
        <w:t>–</w:t>
      </w:r>
      <w:r>
        <w:rPr>
          <w:rFonts w:ascii="Times New Roman" w:hAnsi="Times New Roman"/>
          <w:b w:val="false"/>
          <w:bCs w:val="false"/>
          <w:color w:val="000000"/>
        </w:rPr>
        <w:t xml:space="preserve"> правое дело, а с другой стороны </w:t>
      </w:r>
      <w:r>
        <w:rPr>
          <w:rFonts w:ascii="Times New Roman" w:hAnsi="Times New Roman"/>
          <w:b w:val="false"/>
          <w:bCs w:val="false"/>
          <w:color w:val="auto"/>
          <w:lang w:val="el-GR"/>
        </w:rPr>
        <w:t>–</w:t>
      </w:r>
      <w:r>
        <w:rPr>
          <w:rFonts w:ascii="Times New Roman" w:hAnsi="Times New Roman"/>
          <w:b w:val="false"/>
          <w:bCs w:val="false"/>
          <w:color w:val="000000"/>
        </w:rPr>
        <w:t xml:space="preserve"> как о человеке, успех которого </w:t>
      </w:r>
      <w:r>
        <w:rPr>
          <w:rFonts w:ascii="Times New Roman" w:hAnsi="Times New Roman"/>
          <w:b w:val="false"/>
          <w:bCs w:val="false"/>
          <w:color w:val="auto"/>
          <w:lang w:val="el-GR"/>
        </w:rPr>
        <w:t>–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случайность, обусловленная его авантюрным поведением (см. фр. 351.1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l-GR"/>
        </w:rPr>
        <w:t>–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2, метафора игры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>: νῦν δ’ οὖτος ἐπικρέτει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 xml:space="preserve">/ κινήσαις τὸν ἀπ’ ἴρας †πύκινον† λίθον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l-GR"/>
        </w:rPr>
        <w:t xml:space="preserve">– 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ru-RU"/>
        </w:rPr>
        <w:t>он победил, «сдвинув… камень от заповедной черты», т. е. прибегнув к крайнему средству [Степанцов 2017: 15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n-US"/>
        </w:rPr>
        <w:t>]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 xml:space="preserve">) </w:t>
      </w:r>
      <w:r>
        <w:rPr>
          <w:rFonts w:ascii="Times New Roman" w:hAnsi="Times New Roman"/>
          <w:b w:val="false"/>
          <w:bCs w:val="false"/>
          <w:color w:val="000000"/>
        </w:rPr>
        <w:t>и помрачением, наведенном на избравший его народ (фр. 70). Такое описание превращает Питтака из самостоятельного сильного противника в орудие уже свершившейся судьбы, что, вероятно, ободряло соратников Алкея. Рассматриваемый нами мотив безумия, хотя он и представлен немногими фрагментами,</w:t>
      </w:r>
      <w:r>
        <w:rPr>
          <w:rFonts w:ascii="Times New Roman" w:hAnsi="Times New Roman"/>
          <w:b w:val="false"/>
          <w:bCs w:val="false"/>
          <w:color w:val="000000"/>
          <w:shd w:fill="auto" w:val="clear"/>
        </w:rPr>
        <w:t xml:space="preserve"> встраивается, таким образом, в общую картину обвинения и удачно ее дополняет. Это дает основания полагать, что мотив занимал в поэтике Алкея важное место.</w:t>
      </w:r>
    </w:p>
    <w:p>
      <w:pPr>
        <w:pStyle w:val="Normal"/>
        <w:bidi w:val="0"/>
        <w:spacing w:lineRule="auto" w:line="240"/>
        <w:ind w:firstLine="737"/>
        <w:jc w:val="both"/>
        <w:rPr>
          <w:rFonts w:ascii="Times New Roman" w:hAnsi="Times New Roman"/>
          <w:color w:val="000000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color w:val="000000"/>
        </w:rPr>
        <w:t>Разработанные Алкеем мотивы обвинения прослеживаются в комедиях Аристофана, в речах Демосфена и Цицерона [Τσομής: 271</w:t>
      </w:r>
      <w:r>
        <w:rPr>
          <w:rFonts w:ascii="Times New Roman" w:hAnsi="Times New Roman"/>
          <w:b w:val="false"/>
          <w:bCs w:val="false"/>
          <w:color w:val="000000"/>
          <w:shd w:fill="auto" w:val="clear"/>
          <w:lang w:val="el-GR"/>
        </w:rPr>
        <w:t>–</w:t>
      </w:r>
      <w:r>
        <w:rPr>
          <w:rFonts w:ascii="Times New Roman" w:hAnsi="Times New Roman"/>
          <w:b w:val="false"/>
          <w:bCs w:val="false"/>
          <w:color w:val="000000"/>
        </w:rPr>
        <w:t xml:space="preserve">272], </w:t>
      </w:r>
      <w:r>
        <w:rPr>
          <w:rFonts w:ascii="Times New Roman" w:hAnsi="Times New Roman"/>
          <w:b w:val="false"/>
          <w:bCs w:val="false"/>
          <w:color w:val="000000"/>
          <w:lang w:val="en-US"/>
        </w:rPr>
        <w:t>[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US"/>
        </w:rPr>
        <w:t xml:space="preserve">Davies: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38</w:t>
      </w:r>
      <w:r>
        <w:rPr>
          <w:rFonts w:ascii="Times New Roman" w:hAnsi="Times New Roman"/>
          <w:b w:val="false"/>
          <w:bCs w:val="false"/>
          <w:color w:val="000000"/>
          <w:lang w:val="en-US"/>
        </w:rPr>
        <w:t xml:space="preserve">]. </w:t>
      </w:r>
      <w:r>
        <w:rPr>
          <w:rFonts w:ascii="Times New Roman" w:hAnsi="Times New Roman"/>
          <w:b w:val="false"/>
          <w:bCs w:val="false"/>
          <w:color w:val="000000"/>
          <w:lang w:val="ru-RU"/>
        </w:rPr>
        <w:t>Но важно отметить, что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lang w:val="ru-RU"/>
        </w:rPr>
        <w:t xml:space="preserve"> для самого Алкея обвинение в </w:t>
      </w:r>
      <w:r>
        <w:rPr>
          <w:rFonts w:ascii="Times New Roman" w:hAnsi="Times New Roman"/>
          <w:b w:val="false"/>
          <w:bCs w:val="false"/>
          <w:i/>
          <w:iCs/>
          <w:color w:val="000000"/>
          <w:lang w:val="ru-RU"/>
        </w:rPr>
        <w:t>безумии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hd w:fill="auto" w:val="clear"/>
          <w:lang w:val="el-GR"/>
        </w:rPr>
        <w:t>–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lang w:val="ru-RU"/>
        </w:rPr>
        <w:t xml:space="preserve"> не только прием социальной дискредитации, но и </w:t>
      </w:r>
      <w:r>
        <w:rPr>
          <w:rFonts w:ascii="Times New Roman" w:hAnsi="Times New Roman"/>
          <w:b w:val="false"/>
          <w:bCs w:val="false"/>
          <w:i/>
          <w:iCs/>
          <w:color w:val="000000"/>
          <w:lang w:val="ru-RU"/>
        </w:rPr>
        <w:t>самостоятельно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lang w:val="ru-RU"/>
        </w:rPr>
        <w:t xml:space="preserve"> значимый мотив.</w:t>
      </w:r>
    </w:p>
    <w:p>
      <w:pPr>
        <w:pStyle w:val="Normal"/>
        <w:bidi w:val="0"/>
        <w:spacing w:lineRule="auto" w:line="240"/>
        <w:ind w:firstLine="737"/>
        <w:jc w:val="both"/>
        <w:rPr>
          <w:rFonts w:ascii="Times New Roman" w:hAnsi="Times New Roman"/>
          <w:color w:val="000000"/>
          <w:highlight w:val="none"/>
          <w:shd w:fill="auto" w:val="clear"/>
        </w:rPr>
      </w:pPr>
      <w:r>
        <w:rPr>
          <w:rFonts w:ascii="Times New Roman" w:hAnsi="Times New Roman"/>
          <w:color w:val="000000"/>
          <w:shd w:fill="auto" w:val="clear"/>
        </w:rPr>
      </w:r>
    </w:p>
    <w:p>
      <w:pPr>
        <w:pStyle w:val="Normal"/>
        <w:bidi w:val="0"/>
        <w:spacing w:lineRule="auto" w:line="240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</w:rPr>
        <w:t>Литература</w:t>
      </w:r>
    </w:p>
    <w:p>
      <w:pPr>
        <w:pStyle w:val="Normal"/>
        <w:bidi w:val="0"/>
        <w:spacing w:lineRule="auto" w:line="24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lang w:val="en-US"/>
        </w:rPr>
        <w:t>Степанцов С. А. Комментарий к избранным фрагментам Алкея: Политические фрагменты. М., 2022.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lang w:val="en-US"/>
        </w:rPr>
        <w:t>Степанцов   С. А. Политическая метафора у Алкея (помимо корабля) // Шаги/Steps. 2017. №4. C. 11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lang w:val="el-GR"/>
        </w:rPr>
        <w:t>–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lang w:val="en-US"/>
        </w:rPr>
        <w:t xml:space="preserve">17. 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US"/>
        </w:rPr>
        <w:t>Davies М. Conventional Topics in Invective in Alcaeus // Prometheus. 1985. Vol. 11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,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US"/>
        </w:rPr>
        <w:t xml:space="preserve"> No. 1. P.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31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l-GR"/>
        </w:rPr>
        <w:t>–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39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en-US"/>
        </w:rPr>
        <w:t>.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lang w:val="en-US"/>
        </w:rPr>
        <w:t xml:space="preserve">Kurke L. Crisis and Decorum in Sixth–Century Lesbos: Reading Alkaios Otherwise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  <w:t xml:space="preserve">// Quaderni Urbinati di cultura classica.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lang w:val="en-US"/>
        </w:rPr>
        <w:t>1994. New Series, Vol. 47, No. 2. P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  <w:t>. 6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lang w:val="en-US"/>
        </w:rPr>
        <w:t>7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lang w:val="el-GR"/>
        </w:rPr>
        <w:t>–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lang w:val="en-US"/>
        </w:rPr>
        <w:t>92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  <w:t xml:space="preserve">. 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>
          <w:color w:val="000000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  <w:t>Τσομής Γ. 2021: Η πολιτική λοιδορία στην Αρχαϊκή Λυρική Ποίηση: η περίπτωση του Αλκαίου // Кафедра византийской и новогреческой филологии. 2021. № 9. С. 256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lang w:val="el-GR"/>
        </w:rPr>
        <w:t>–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</w:rPr>
        <w:t xml:space="preserve">277. </w:t>
      </w:r>
    </w:p>
    <w:p>
      <w:pPr>
        <w:pStyle w:val="Normal"/>
        <w:numPr>
          <w:ilvl w:val="0"/>
          <w:numId w:val="1"/>
        </w:numPr>
        <w:bidi w:val="0"/>
        <w:spacing w:lineRule="auto" w:line="240"/>
        <w:jc w:val="both"/>
        <w:rPr/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</w:rPr>
        <w:t>Voigt Е.-М. Sappho et Alcaeus. Fragmenta. Amsterdam, 1971.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yle14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pPr/>
    <w:rPr>
      <w:color w:val="000000"/>
    </w:rPr>
  </w:style>
  <w:style w:type="paragraph" w:styleId="Caption1">
    <w:name w:val="caption1"/>
    <w:basedOn w:val="Normal"/>
    <w:qFormat/>
    <w:pPr>
      <w:spacing w:before="120" w:after="120"/>
    </w:pPr>
    <w:rPr>
      <w:i/>
      <w:iCs/>
      <w:color w:val="000000"/>
    </w:rPr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dakova.ekatherina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1955</TotalTime>
  <Application>LibreOffice/7.6.2.1$Windows_X86_64 LibreOffice_project/56f7684011345957bbf33a7ee678afaf4d2ba333</Application>
  <AppVersion>15.0000</AppVersion>
  <Pages>2</Pages>
  <Words>871</Words>
  <Characters>5147</Characters>
  <CharactersWithSpaces>5997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2026-03-09T17:01:05Z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