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2C595B0" w:rsidR="00E27EFB" w:rsidRDefault="004D1C8A" w:rsidP="00CA12FC">
      <w:pPr>
        <w:spacing w:line="240" w:lineRule="auto"/>
        <w:ind w:right="-141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/>
        </w:rPr>
        <w:t>I</w:t>
      </w:r>
      <w:proofErr w:type="spellStart"/>
      <w:r w:rsidR="00D65322">
        <w:rPr>
          <w:rFonts w:eastAsia="Times New Roman" w:cs="Times New Roman"/>
          <w:sz w:val="24"/>
          <w:szCs w:val="24"/>
        </w:rPr>
        <w:t>nterpretatio</w:t>
      </w:r>
      <w:proofErr w:type="spellEnd"/>
      <w:r w:rsidR="00D65322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val="en-US"/>
        </w:rPr>
        <w:t>R</w:t>
      </w:r>
      <w:proofErr w:type="spellStart"/>
      <w:r w:rsidR="00D65322">
        <w:rPr>
          <w:rFonts w:eastAsia="Times New Roman" w:cs="Times New Roman"/>
          <w:sz w:val="24"/>
          <w:szCs w:val="24"/>
        </w:rPr>
        <w:t>omana</w:t>
      </w:r>
      <w:proofErr w:type="spellEnd"/>
      <w:r w:rsidR="00D65322">
        <w:rPr>
          <w:rFonts w:eastAsia="Times New Roman" w:cs="Times New Roman"/>
          <w:sz w:val="24"/>
          <w:szCs w:val="24"/>
        </w:rPr>
        <w:t xml:space="preserve">: вопросы культурного и религиозного синкретизма в римской </w:t>
      </w:r>
      <w:r>
        <w:rPr>
          <w:rFonts w:eastAsia="Times New Roman" w:cs="Times New Roman"/>
          <w:sz w:val="24"/>
          <w:szCs w:val="24"/>
          <w:lang w:val="ru-RU"/>
        </w:rPr>
        <w:t>Б</w:t>
      </w:r>
      <w:proofErr w:type="spellStart"/>
      <w:r w:rsidR="00D65322">
        <w:rPr>
          <w:rFonts w:eastAsia="Times New Roman" w:cs="Times New Roman"/>
          <w:sz w:val="24"/>
          <w:szCs w:val="24"/>
        </w:rPr>
        <w:t>ритании</w:t>
      </w:r>
      <w:proofErr w:type="spellEnd"/>
    </w:p>
    <w:p w14:paraId="00000002" w14:textId="1A9CDA9A" w:rsidR="00E27EFB" w:rsidRPr="00CA12FC" w:rsidRDefault="004D1C8A" w:rsidP="00CA12FC">
      <w:pPr>
        <w:spacing w:line="240" w:lineRule="auto"/>
        <w:ind w:right="-141" w:firstLine="709"/>
        <w:jc w:val="center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Л</w:t>
      </w:r>
      <w:r w:rsidR="00CA12FC">
        <w:rPr>
          <w:rFonts w:eastAsia="Times New Roman" w:cs="Times New Roman"/>
          <w:sz w:val="24"/>
          <w:szCs w:val="24"/>
          <w:lang w:val="ru-RU"/>
        </w:rPr>
        <w:t xml:space="preserve">еонович </w:t>
      </w:r>
      <w:r>
        <w:rPr>
          <w:rFonts w:eastAsia="Times New Roman" w:cs="Times New Roman"/>
          <w:sz w:val="24"/>
          <w:szCs w:val="24"/>
          <w:lang w:val="ru-RU"/>
        </w:rPr>
        <w:t>А</w:t>
      </w:r>
      <w:r w:rsidR="00CA12FC">
        <w:rPr>
          <w:rFonts w:eastAsia="Times New Roman" w:cs="Times New Roman"/>
          <w:sz w:val="24"/>
          <w:szCs w:val="24"/>
          <w:lang w:val="ru-RU"/>
        </w:rPr>
        <w:t xml:space="preserve">настасия </w:t>
      </w:r>
      <w:r>
        <w:rPr>
          <w:rFonts w:eastAsia="Times New Roman" w:cs="Times New Roman"/>
          <w:sz w:val="24"/>
          <w:szCs w:val="24"/>
          <w:lang w:val="ru-RU"/>
        </w:rPr>
        <w:t>Д</w:t>
      </w:r>
      <w:r w:rsidR="00CA12FC">
        <w:rPr>
          <w:rFonts w:eastAsia="Times New Roman" w:cs="Times New Roman"/>
          <w:sz w:val="24"/>
          <w:szCs w:val="24"/>
          <w:lang w:val="ru-RU"/>
        </w:rPr>
        <w:t>митриевна</w:t>
      </w:r>
    </w:p>
    <w:p w14:paraId="00000003" w14:textId="2A0E3B75" w:rsidR="00E27EFB" w:rsidRDefault="00CA12FC" w:rsidP="00CA12FC">
      <w:pPr>
        <w:spacing w:line="240" w:lineRule="auto"/>
        <w:ind w:right="-141" w:firstLine="709"/>
        <w:jc w:val="center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аспирантка</w:t>
      </w:r>
    </w:p>
    <w:p w14:paraId="01AA1653" w14:textId="103141C8" w:rsidR="00CA12FC" w:rsidRDefault="004D1C8A" w:rsidP="00CA12FC">
      <w:pPr>
        <w:spacing w:line="240" w:lineRule="auto"/>
        <w:ind w:right="-141" w:firstLine="709"/>
        <w:jc w:val="center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М</w:t>
      </w:r>
      <w:r w:rsidR="00CA12FC">
        <w:rPr>
          <w:rFonts w:eastAsia="Times New Roman" w:cs="Times New Roman"/>
          <w:sz w:val="24"/>
          <w:szCs w:val="24"/>
          <w:lang w:val="ru-RU"/>
        </w:rPr>
        <w:t xml:space="preserve">осковского государственного университета имени </w:t>
      </w:r>
      <w:r>
        <w:rPr>
          <w:rFonts w:eastAsia="Times New Roman" w:cs="Times New Roman"/>
          <w:sz w:val="24"/>
          <w:szCs w:val="24"/>
          <w:lang w:val="ru-RU"/>
        </w:rPr>
        <w:t>М</w:t>
      </w:r>
      <w:r w:rsidR="00CA12FC">
        <w:rPr>
          <w:rFonts w:eastAsia="Times New Roman" w:cs="Times New Roman"/>
          <w:sz w:val="24"/>
          <w:szCs w:val="24"/>
          <w:lang w:val="ru-RU"/>
        </w:rPr>
        <w:t>.</w:t>
      </w:r>
      <w:r>
        <w:rPr>
          <w:rFonts w:eastAsia="Times New Roman" w:cs="Times New Roman"/>
          <w:sz w:val="24"/>
          <w:szCs w:val="24"/>
          <w:lang w:val="ru-RU"/>
        </w:rPr>
        <w:t>В</w:t>
      </w:r>
      <w:r w:rsidR="00CA12FC">
        <w:rPr>
          <w:rFonts w:eastAsia="Times New Roman" w:cs="Times New Roman"/>
          <w:sz w:val="24"/>
          <w:szCs w:val="24"/>
          <w:lang w:val="ru-RU"/>
        </w:rPr>
        <w:t>.</w:t>
      </w:r>
      <w:r>
        <w:rPr>
          <w:rFonts w:eastAsia="Times New Roman" w:cs="Times New Roman"/>
          <w:sz w:val="24"/>
          <w:szCs w:val="24"/>
          <w:lang w:val="ru-RU"/>
        </w:rPr>
        <w:t> Л</w:t>
      </w:r>
      <w:r w:rsidR="00CA12FC">
        <w:rPr>
          <w:rFonts w:eastAsia="Times New Roman" w:cs="Times New Roman"/>
          <w:sz w:val="24"/>
          <w:szCs w:val="24"/>
          <w:lang w:val="ru-RU"/>
        </w:rPr>
        <w:t xml:space="preserve">омоносова, </w:t>
      </w:r>
      <w:r>
        <w:rPr>
          <w:rFonts w:eastAsia="Times New Roman" w:cs="Times New Roman"/>
          <w:sz w:val="24"/>
          <w:szCs w:val="24"/>
          <w:lang w:val="ru-RU"/>
        </w:rPr>
        <w:t>М</w:t>
      </w:r>
      <w:r w:rsidR="00CA12FC">
        <w:rPr>
          <w:rFonts w:eastAsia="Times New Roman" w:cs="Times New Roman"/>
          <w:sz w:val="24"/>
          <w:szCs w:val="24"/>
          <w:lang w:val="ru-RU"/>
        </w:rPr>
        <w:t xml:space="preserve">осква, </w:t>
      </w:r>
      <w:r>
        <w:rPr>
          <w:rFonts w:eastAsia="Times New Roman" w:cs="Times New Roman"/>
          <w:sz w:val="24"/>
          <w:szCs w:val="24"/>
          <w:lang w:val="ru-RU"/>
        </w:rPr>
        <w:t>Р</w:t>
      </w:r>
      <w:r w:rsidR="00CA12FC">
        <w:rPr>
          <w:rFonts w:eastAsia="Times New Roman" w:cs="Times New Roman"/>
          <w:sz w:val="24"/>
          <w:szCs w:val="24"/>
          <w:lang w:val="ru-RU"/>
        </w:rPr>
        <w:t>оссия</w:t>
      </w:r>
    </w:p>
    <w:p w14:paraId="09A4D222" w14:textId="131E0EF0" w:rsidR="00CA12FC" w:rsidRDefault="00CA12FC" w:rsidP="00CA12FC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</w:p>
    <w:p w14:paraId="4E65C497" w14:textId="5F9C4DE2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1. Надпись: характеристика источника</w:t>
      </w:r>
    </w:p>
    <w:p w14:paraId="28EF5B40" w14:textId="06040322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В 2024 г. в журнале Britannia была опубликована бронзовая вотивная табличка II в. н. э., найденная металлодетектористом в графстве Оксфордшир (ныне хранится в музее Стондлэйка близ Вудсток). Точное место находки неизвестно, что затрудняет локализацию культа.</w:t>
      </w:r>
    </w:p>
    <w:p w14:paraId="018C5F6D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Текст надписи:</w:t>
      </w:r>
    </w:p>
    <w:p w14:paraId="01357C6B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DEAE MINERVAE RVDVPIAE</w:t>
      </w:r>
    </w:p>
    <w:p w14:paraId="7BF2C19A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ET NUM(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 AUG(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usti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</w:t>
      </w:r>
    </w:p>
    <w:p w14:paraId="2AFA2725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IUL(ius) Iulianus Iuli</w:t>
      </w:r>
    </w:p>
    <w:p w14:paraId="59BC7ADA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[filius] et Bric[…] 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filia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[…]</w:t>
      </w:r>
    </w:p>
    <w:p w14:paraId="5C74B0AD" w14:textId="62F8F269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ex 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voto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l(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ibentes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 m(</w:t>
      </w:r>
      <w:proofErr w:type="spellStart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erito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</w:t>
      </w:r>
    </w:p>
    <w:p w14:paraId="03AAB305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2. Римско-кельтский религиозный синкретизм</w:t>
      </w:r>
    </w:p>
    <w:p w14:paraId="46A275F2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В римских провинциях широко практиковалось соединение римских и местных божеств. Римское имя выступало как основное, а местное сохранялось в виде эпитета.</w:t>
      </w:r>
    </w:p>
    <w:p w14:paraId="6193A86B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Этот механизм известен как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interpretatio Romana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, термин, использованный Тацит в трактате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De origine et situ Germanorum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.</w:t>
      </w:r>
    </w:p>
    <w:p w14:paraId="78B0F319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Характерный пример — культ кельтской богини Сулис в городе Аквы Сулис (совр. Бат), где богиня почиталась как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Sulis Minerva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. Многочисленные посвящения подтверждают устойчивость подобного двойного имени.</w:t>
      </w:r>
    </w:p>
    <w:p w14:paraId="376B0B4E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Такой синкретизм позволял сохранять местные религиозные традиции, одновременно интегрируя их в римскую религиозную систему.</w:t>
      </w:r>
    </w:p>
    <w:p w14:paraId="209D87AE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3. Синкретические божества в Галлии и Британии</w:t>
      </w:r>
    </w:p>
    <w:p w14:paraId="566AD79B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Эпиграфические данные показывают широкое распространение «двойных» божеств в кельтском мире. Зафиксированы многочисленные эпитеты:</w:t>
      </w:r>
    </w:p>
    <w:p w14:paraId="5BDE3464" w14:textId="27394A29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Аполлон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(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например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 xml:space="preserve">Apollo </w:t>
      </w:r>
      <w:proofErr w:type="spellStart"/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Atepomarus</w:t>
      </w:r>
      <w:proofErr w:type="spellEnd"/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Apollo Belenus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Apollo Grannus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);</w:t>
      </w:r>
      <w:r w:rsidR="0082767E" w:rsidRPr="0082767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</w:p>
    <w:p w14:paraId="768CCD6C" w14:textId="525D5910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Минерва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(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в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том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числе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Minerva Brigantia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Minerva Sulis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и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en-US"/>
        </w:rPr>
        <w:t>Minerva Rudupia</w:t>
      </w:r>
      <w:r w:rsidRPr="0010338A">
        <w:rPr>
          <w:rFonts w:eastAsia="Times New Roman" w:cs="Times New Roman"/>
          <w:color w:val="000000"/>
          <w:sz w:val="24"/>
          <w:szCs w:val="24"/>
          <w:lang w:val="en-US"/>
        </w:rPr>
        <w:t>).</w:t>
      </w:r>
      <w:r w:rsidR="0082767E" w:rsidRPr="0082767E">
        <w:rPr>
          <w:rFonts w:eastAsia="Times New Roman" w:cs="Times New Roman"/>
          <w:color w:val="000000"/>
          <w:sz w:val="24"/>
          <w:szCs w:val="24"/>
          <w:lang w:val="en-US"/>
        </w:rPr>
        <w:t xml:space="preserve"> [Green 1997]</w:t>
      </w:r>
    </w:p>
    <w:p w14:paraId="12B1940F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Римское имя божества выступало как общеримский маркер, тогда как кельтский эпитет отражал локальные функции и особенности культа.</w:t>
      </w:r>
    </w:p>
    <w:p w14:paraId="4189C59C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4. Этимология имени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Rudupia</w:t>
      </w:r>
    </w:p>
    <w:p w14:paraId="5D6EDA6C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Слово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Rudupia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 ранее не фиксировалось, поэтому его интерпретация остаётся гипотетической.</w:t>
      </w:r>
    </w:p>
    <w:p w14:paraId="00BE3888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1. От пракельтского корня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- «красный, ржавый».</w:t>
      </w:r>
    </w:p>
    <w:p w14:paraId="1C8B5DF9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Этот корень широко представлен в кельтских языках (валл.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rhudd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, др.-ирл.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ruad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). В таком случае имя может означать «красная» или «ржавая» богиня. Семантически это может указывать на связь с железистой водой, рудной почвой или источником. Параллели известны в галльской теонимике, например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Rudianus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.</w:t>
      </w:r>
    </w:p>
    <w:p w14:paraId="29A0E583" w14:textId="314F944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2. Связь с топонимом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Rutupiae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 (современный Ричборо).</w:t>
      </w:r>
      <w:r w:rsidR="0082767E">
        <w:rPr>
          <w:rFonts w:eastAsia="Times New Roman" w:cs="Times New Roman"/>
          <w:color w:val="000000"/>
          <w:sz w:val="24"/>
          <w:szCs w:val="24"/>
          <w:lang w:val="ru-RU"/>
        </w:rPr>
        <w:t xml:space="preserve"> </w:t>
      </w:r>
      <w:r w:rsidR="0082767E">
        <w:t>[Hamp 1966]</w:t>
      </w:r>
    </w:p>
    <w:p w14:paraId="1C919F95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В этом случае имя могло означать «богиня болотной переправы» или «мутной воды». Однако археологический контекст находки не подтверждает такую связь.</w:t>
      </w:r>
    </w:p>
    <w:p w14:paraId="19A3CFD1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3. Сложное имя с суффиксом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-pia / -upia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.</w:t>
      </w:r>
    </w:p>
    <w:p w14:paraId="3C6834FE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Возможна словообразовательная конструкция с неясной семантикой второго компонента.</w:t>
      </w:r>
    </w:p>
    <w:p w14:paraId="04C5CEFA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Наиболее вероятной считается первая гипотеза.</w:t>
      </w:r>
    </w:p>
    <w:p w14:paraId="33A20EC2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lastRenderedPageBreak/>
        <w:t>5. Культурно-религиозная интерпретация</w:t>
      </w:r>
    </w:p>
    <w:p w14:paraId="6B1CFC52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Если имя связано с корнем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- («красный, ржавый»),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Minerva Rudupia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 могла быть локальной богиней, связанной с природным объектом — например, железистым источником или рудной почвой.</w:t>
      </w:r>
    </w:p>
    <w:p w14:paraId="33BF145F" w14:textId="6CFECCCF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>Такие природные места нередко обладали сакральным статусом и могли ассоциироваться с целительными или охранительными функциями. В рамках римского синкретизма это божество было интерпретировано как проявление Minerva.</w:t>
      </w:r>
    </w:p>
    <w:p w14:paraId="447D3EB4" w14:textId="77777777" w:rsidR="0010338A" w:rsidRP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Бронзовая табличка из Оксфордшира представляет собой новое свидетельство римско-кельтского религиозного синкретизма. Имя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Rudupia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 остаётся уникальным и пока не имеет окончательно установленной этимологии.</w:t>
      </w:r>
    </w:p>
    <w:p w14:paraId="13DB5017" w14:textId="622E95D9" w:rsidR="0010338A" w:rsidRDefault="0010338A" w:rsidP="0082767E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Наиболее вероятно, что оно связано с пракельтским корнем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rud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- «красный», что может указывать на культ локального природного объекта. Таким образом, </w:t>
      </w:r>
      <w:r w:rsidRPr="0010338A">
        <w:rPr>
          <w:rFonts w:eastAsia="Times New Roman" w:cs="Times New Roman"/>
          <w:i/>
          <w:iCs/>
          <w:color w:val="000000"/>
          <w:sz w:val="24"/>
          <w:szCs w:val="24"/>
          <w:lang w:val="ru-RU"/>
        </w:rPr>
        <w:t>Minerva Rudupia</w:t>
      </w:r>
      <w:r w:rsidRPr="0010338A">
        <w:rPr>
          <w:rFonts w:eastAsia="Times New Roman" w:cs="Times New Roman"/>
          <w:color w:val="000000"/>
          <w:sz w:val="24"/>
          <w:szCs w:val="24"/>
          <w:lang w:val="ru-RU"/>
        </w:rPr>
        <w:t xml:space="preserve"> является примером того, как местные кельтские божества интегрировались в римскую религиозную систему, сохраняя собственную идентичность.</w:t>
      </w:r>
    </w:p>
    <w:p w14:paraId="7077395C" w14:textId="77777777" w:rsidR="0082767E" w:rsidRDefault="0082767E" w:rsidP="0082767E">
      <w:pPr>
        <w:spacing w:line="240" w:lineRule="auto"/>
        <w:jc w:val="both"/>
        <w:rPr>
          <w:lang w:val="la-Latn"/>
        </w:rPr>
      </w:pPr>
    </w:p>
    <w:p w14:paraId="30379A46" w14:textId="54F82442" w:rsidR="0082767E" w:rsidRDefault="0082767E" w:rsidP="0082767E">
      <w:pPr>
        <w:spacing w:line="240" w:lineRule="auto"/>
        <w:jc w:val="both"/>
        <w:rPr>
          <w:sz w:val="24"/>
          <w:szCs w:val="24"/>
          <w:lang w:val="en-US"/>
        </w:rPr>
      </w:pPr>
      <w:r w:rsidRPr="0082767E">
        <w:rPr>
          <w:sz w:val="24"/>
          <w:szCs w:val="24"/>
          <w:lang w:val="la-Latn"/>
        </w:rPr>
        <w:t>Miranda Green,</w:t>
      </w:r>
      <w:r w:rsidRPr="0082767E">
        <w:rPr>
          <w:sz w:val="24"/>
          <w:szCs w:val="24"/>
          <w:lang w:val="en-US"/>
        </w:rPr>
        <w:t xml:space="preserve"> Dictionary of Celtic Myth and Legend. London: Thames &amp; Hudson, 1992. 192 p.</w:t>
      </w:r>
    </w:p>
    <w:p w14:paraId="4E93E838" w14:textId="43ECA585" w:rsidR="0082767E" w:rsidRPr="0010338A" w:rsidRDefault="0082767E" w:rsidP="0082767E">
      <w:pPr>
        <w:spacing w:line="240" w:lineRule="auto"/>
        <w:jc w:val="both"/>
        <w:rPr>
          <w:rFonts w:eastAsia="Times New Roman" w:cs="Times New Roman"/>
          <w:sz w:val="24"/>
          <w:szCs w:val="24"/>
          <w:lang w:val="en-US"/>
        </w:rPr>
      </w:pPr>
      <w:r w:rsidRPr="0082767E">
        <w:rPr>
          <w:rFonts w:eastAsia="Times New Roman" w:cs="Times New Roman"/>
          <w:sz w:val="24"/>
          <w:szCs w:val="24"/>
          <w:lang w:val="en-US"/>
        </w:rPr>
        <w:t xml:space="preserve">Hamp E. P. Roman British </w:t>
      </w:r>
      <w:proofErr w:type="spellStart"/>
      <w:r w:rsidRPr="0082767E">
        <w:rPr>
          <w:rFonts w:eastAsia="Times New Roman" w:cs="Times New Roman"/>
          <w:sz w:val="24"/>
          <w:szCs w:val="24"/>
          <w:lang w:val="en-US"/>
        </w:rPr>
        <w:t>Rutupiae</w:t>
      </w:r>
      <w:proofErr w:type="spellEnd"/>
      <w:r w:rsidRPr="0082767E">
        <w:rPr>
          <w:rFonts w:eastAsia="Times New Roman" w:cs="Times New Roman"/>
          <w:sz w:val="24"/>
          <w:szCs w:val="24"/>
          <w:lang w:val="en-US"/>
        </w:rPr>
        <w:t xml:space="preserve">, </w:t>
      </w:r>
      <w:proofErr w:type="spellStart"/>
      <w:r w:rsidRPr="0082767E">
        <w:rPr>
          <w:rFonts w:eastAsia="Times New Roman" w:cs="Times New Roman"/>
          <w:sz w:val="24"/>
          <w:szCs w:val="24"/>
          <w:lang w:val="en-US"/>
        </w:rPr>
        <w:t>Gaulish</w:t>
      </w:r>
      <w:proofErr w:type="spellEnd"/>
      <w:r w:rsidRPr="0082767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82767E">
        <w:rPr>
          <w:rFonts w:eastAsia="Times New Roman" w:cs="Times New Roman"/>
          <w:sz w:val="24"/>
          <w:szCs w:val="24"/>
          <w:lang w:val="en-US"/>
        </w:rPr>
        <w:t>Rutuba</w:t>
      </w:r>
      <w:proofErr w:type="spellEnd"/>
      <w:r w:rsidRPr="0082767E">
        <w:rPr>
          <w:rFonts w:eastAsia="Times New Roman" w:cs="Times New Roman"/>
          <w:sz w:val="24"/>
          <w:szCs w:val="24"/>
          <w:lang w:val="en-US"/>
        </w:rPr>
        <w:t xml:space="preserve"> // </w:t>
      </w:r>
      <w:proofErr w:type="spellStart"/>
      <w:r w:rsidRPr="0082767E">
        <w:rPr>
          <w:rFonts w:eastAsia="Times New Roman" w:cs="Times New Roman"/>
          <w:sz w:val="24"/>
          <w:szCs w:val="24"/>
          <w:lang w:val="en-US"/>
        </w:rPr>
        <w:t>Glotta</w:t>
      </w:r>
      <w:proofErr w:type="spellEnd"/>
      <w:r w:rsidRPr="0082767E">
        <w:rPr>
          <w:rFonts w:eastAsia="Times New Roman" w:cs="Times New Roman"/>
          <w:sz w:val="24"/>
          <w:szCs w:val="24"/>
          <w:lang w:val="en-US"/>
        </w:rPr>
        <w:t>. 1966. Bd. 44. H. 3/4. S. 296–298.</w:t>
      </w:r>
    </w:p>
    <w:p w14:paraId="032FC397" w14:textId="77777777" w:rsidR="00CA12FC" w:rsidRPr="0082767E" w:rsidRDefault="00CA12FC" w:rsidP="00CA12FC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val="en-US"/>
        </w:rPr>
      </w:pPr>
    </w:p>
    <w:sectPr w:rsidR="00CA12FC" w:rsidRPr="0082767E" w:rsidSect="00CA12FC">
      <w:pgSz w:w="11909" w:h="16834"/>
      <w:pgMar w:top="1134" w:right="1418" w:bottom="1418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F381A79-C9B7-4C3A-8598-0B6C66A169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17E9D7C-51A7-4132-A67D-EBA8C4A472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EFB"/>
    <w:rsid w:val="0010338A"/>
    <w:rsid w:val="004A689E"/>
    <w:rsid w:val="004D1C8A"/>
    <w:rsid w:val="0082767E"/>
    <w:rsid w:val="00CA12FC"/>
    <w:rsid w:val="00D65322"/>
    <w:rsid w:val="00E2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B6B"/>
  <w15:docId w15:val="{0C15F791-18B4-423C-9E70-DF3FEF7A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FC"/>
    <w:rPr>
      <w:rFonts w:ascii="Times New Roman" w:hAnsi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hAnsi="Arial"/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10338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Eyennoying</dc:creator>
  <cp:lastModifiedBy>Алексей Беликов</cp:lastModifiedBy>
  <cp:revision>3</cp:revision>
  <dcterms:created xsi:type="dcterms:W3CDTF">2026-03-09T21:20:00Z</dcterms:created>
  <dcterms:modified xsi:type="dcterms:W3CDTF">2026-03-10T16:06:00Z</dcterms:modified>
</cp:coreProperties>
</file>