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E685" w14:textId="6392A94B" w:rsidR="00D254FB" w:rsidRPr="00D254FB" w:rsidRDefault="00D254FB" w:rsidP="00D254F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254FB">
        <w:rPr>
          <w:rFonts w:ascii="Times New Roman" w:hAnsi="Times New Roman" w:cs="Times New Roman"/>
          <w:b/>
          <w:bCs/>
        </w:rPr>
        <w:t>Факторы вариативности глагола cicatrizar</w:t>
      </w:r>
      <w:r>
        <w:rPr>
          <w:rFonts w:ascii="Times New Roman" w:hAnsi="Times New Roman" w:cs="Times New Roman"/>
          <w:b/>
          <w:bCs/>
        </w:rPr>
        <w:t>(</w:t>
      </w:r>
      <w:r w:rsidRPr="00D254FB">
        <w:rPr>
          <w:rFonts w:ascii="Times New Roman" w:hAnsi="Times New Roman" w:cs="Times New Roman"/>
          <w:b/>
          <w:bCs/>
        </w:rPr>
        <w:t>se</w:t>
      </w:r>
      <w:r>
        <w:rPr>
          <w:rFonts w:ascii="Times New Roman" w:hAnsi="Times New Roman" w:cs="Times New Roman"/>
          <w:b/>
          <w:bCs/>
        </w:rPr>
        <w:t>)</w:t>
      </w:r>
      <w:r w:rsidRPr="00D254FB">
        <w:rPr>
          <w:rFonts w:ascii="Times New Roman" w:hAnsi="Times New Roman" w:cs="Times New Roman"/>
          <w:b/>
          <w:bCs/>
        </w:rPr>
        <w:t xml:space="preserve"> в антикаузативных конструкциях испанского языка</w:t>
      </w:r>
    </w:p>
    <w:p w14:paraId="02D839BF" w14:textId="4578F70A" w:rsidR="00D254FB" w:rsidRPr="00D254FB" w:rsidRDefault="00D254FB" w:rsidP="00D254FB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t>Лысогуб Александра Сергеевна</w:t>
      </w:r>
    </w:p>
    <w:p w14:paraId="35AC22F0" w14:textId="6414B137" w:rsidR="00D254FB" w:rsidRPr="00D254FB" w:rsidRDefault="00D254FB" w:rsidP="00D254FB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 Москва, Россия</w:t>
      </w:r>
    </w:p>
    <w:p w14:paraId="5E8F5208" w14:textId="77777777" w:rsidR="00D254FB" w:rsidRPr="00D254FB" w:rsidRDefault="00D254FB" w:rsidP="00D254F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t>В рамках изучения антикаузативных конструкций испанского языка особый интерес представляют глаголы с вариативным употреблением возвратного показателя se, такие как cicatrizar(se), enrojecer(se), aumentar(se), что обусловлено непредсказуемостью выбора маркированной / немаркированной формы. Возможность выбора между cicatrizar и cicatrizarse ставит вопрос о факторах, провоцирующих употребление каждой из форм.</w:t>
      </w:r>
    </w:p>
    <w:p w14:paraId="3B4AF551" w14:textId="420A8E1E" w:rsidR="00D254FB" w:rsidRPr="00D254FB" w:rsidRDefault="00D254FB" w:rsidP="00883A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t xml:space="preserve">В современной лингвистике предлагаются различные критерии, объясняющие появление показателя «se» в антикаузативных конструкциях. В работе М. Виванко [Vivanco 2017] выделяются два основных параметра: аспектуальный (в контекстах, репрезентирующих результативное событие, вероятность появления «se» выше, чем в процессуальных) и параметр переходности (чем выше частотность употребления глагола в переходных конструкциях, тем более вероятно его использование с «se»). С. Хайдингер [Heidinger 2019] на материале французского и испанского языков рассматривает частотность употребления глаголов в переходных конструкциях, а также степень семантического совпадения ролей пациенса и подлежащего как факторы, влияющие на выбор между рефлексивной и немаркированной антикаузативными формами. В исследовании Л. Вос [Wöß 2023] анализируется корреляция семантической роли субъекта с антикаузативным употреблением глаголов. </w:t>
      </w:r>
      <w:r w:rsidR="00883AAC" w:rsidRPr="00883AAC">
        <w:rPr>
          <w:rFonts w:ascii="Times New Roman" w:hAnsi="Times New Roman" w:cs="Times New Roman"/>
        </w:rPr>
        <w:t>М. Хаспельмат с соавторами [Haspelmath et al. 2014] показывают, что частотность употребления глагола влияет на его оформление: формы, которые используются чаще, обычно имеют более простое (нулевое) маркирование</w:t>
      </w:r>
      <w:r w:rsidR="00883AAC">
        <w:rPr>
          <w:rFonts w:ascii="Times New Roman" w:hAnsi="Times New Roman" w:cs="Times New Roman"/>
        </w:rPr>
        <w:t xml:space="preserve">. </w:t>
      </w:r>
      <w:r w:rsidR="00883AAC" w:rsidRPr="00883AAC">
        <w:rPr>
          <w:rFonts w:ascii="Times New Roman" w:hAnsi="Times New Roman" w:cs="Times New Roman"/>
        </w:rPr>
        <w:t xml:space="preserve">Данный подход позволяет предположить, что выбор между cicatrizar и cicatrizarse также может быть связан с частотностью </w:t>
      </w:r>
      <w:r w:rsidR="00883AAC">
        <w:rPr>
          <w:rFonts w:ascii="Times New Roman" w:hAnsi="Times New Roman" w:cs="Times New Roman"/>
        </w:rPr>
        <w:t>употребления данного глагола в речи носителя</w:t>
      </w:r>
      <w:r w:rsidR="00883AAC" w:rsidRPr="00883AAC">
        <w:rPr>
          <w:rFonts w:ascii="Times New Roman" w:hAnsi="Times New Roman" w:cs="Times New Roman"/>
        </w:rPr>
        <w:t>.</w:t>
      </w:r>
      <w:r w:rsidR="00883AAC">
        <w:rPr>
          <w:rFonts w:ascii="Times New Roman" w:hAnsi="Times New Roman" w:cs="Times New Roman"/>
        </w:rPr>
        <w:t xml:space="preserve"> </w:t>
      </w:r>
      <w:r w:rsidR="00883AAC" w:rsidRPr="00883AAC">
        <w:rPr>
          <w:rFonts w:ascii="Times New Roman" w:hAnsi="Times New Roman" w:cs="Times New Roman"/>
        </w:rPr>
        <w:t xml:space="preserve">А. Соареш да Силва с коллегами [Soares da Silva et al. 2021] на материале португальского языка выявляют комплекс факторов, влияющих на выбор между конструкциями с </w:t>
      </w:r>
      <w:r w:rsidR="00883AAC" w:rsidRPr="00D254FB">
        <w:rPr>
          <w:rFonts w:ascii="Times New Roman" w:hAnsi="Times New Roman" w:cs="Times New Roman"/>
        </w:rPr>
        <w:t xml:space="preserve">«se» </w:t>
      </w:r>
      <w:r w:rsidR="00883AAC" w:rsidRPr="00883AAC">
        <w:rPr>
          <w:rFonts w:ascii="Times New Roman" w:hAnsi="Times New Roman" w:cs="Times New Roman"/>
        </w:rPr>
        <w:t xml:space="preserve">и без него. Ключевым фактором оказывается то, акцентируется ли в высказывании момент изменения состояния. </w:t>
      </w:r>
      <w:r w:rsidRPr="00D254FB">
        <w:rPr>
          <w:rFonts w:ascii="Times New Roman" w:hAnsi="Times New Roman" w:cs="Times New Roman"/>
        </w:rPr>
        <w:t>Таким образом, в можно вывести набор факторов, потенциально значимых для выбора формы: аспектуальные характеристики, акциональность, переходность, наличие или отсутствие подлежащего, его одушевленность, форма глагола, наличие каузатора, а также семантический тип употребления (прямое / метафорическое).</w:t>
      </w:r>
    </w:p>
    <w:p w14:paraId="45B1FA4B" w14:textId="77777777" w:rsidR="00D254FB" w:rsidRPr="00D254FB" w:rsidRDefault="00D254FB" w:rsidP="00D254F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t>Цель настоящего исследования заключается в проверке гипотезы о том, что какой-либо из выделенных факторов может выступать в качестве основного, детерминирующего выбор формы для конкретного глагола. Материалом исследования послужили контексты употребления глагола cicatrizar(se), отобранные из корпуса CORPES (Real Academia Española) и выдачи поисковой системы Google. Выбор данного глагола обусловлен его высокой частотностью в обеих формах, что позволяет проследить статистически значимые закономерности.</w:t>
      </w:r>
    </w:p>
    <w:p w14:paraId="57DBEF3A" w14:textId="77777777" w:rsidR="00D254FB" w:rsidRPr="00D254FB" w:rsidRDefault="00D254FB" w:rsidP="00D254F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t>В ходе анализа каждый контекст был рассмотрен с точки зрения действия выделенных факторов. Результаты количественной обработки материала демонстрируют, что при изолированном рассмотрении ни один из факторов не дает однозначной корреляции с выбором формы: количество случаев употребления маркированных и немаркированных форм распределяется приблизительно равным образом при действии каждого отдельно взятого фактора.</w:t>
      </w:r>
    </w:p>
    <w:p w14:paraId="2B757810" w14:textId="77777777" w:rsidR="00D254FB" w:rsidRPr="00D254FB" w:rsidRDefault="00D254FB" w:rsidP="00D254F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254FB">
        <w:rPr>
          <w:rFonts w:ascii="Times New Roman" w:hAnsi="Times New Roman" w:cs="Times New Roman"/>
        </w:rPr>
        <w:lastRenderedPageBreak/>
        <w:t>Полученные данные позволяют заключить, что вариативность глагола cicatrizar(se) не может быть объяснена действием какого-либо одного фактора. Перспективу исследования составляет поиск совокупности факторов, взаимодействие которых вызывает появление возвратного показателя «se» в антикаузативных конструкциях современного испанского языка. </w:t>
      </w:r>
    </w:p>
    <w:p w14:paraId="03C3E612" w14:textId="6E772741" w:rsidR="00883AAC" w:rsidRDefault="00254500" w:rsidP="00883A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7B6D28BF" w14:textId="22F35BDC" w:rsidR="00883AAC" w:rsidRPr="00883AAC" w:rsidRDefault="00883AAC" w:rsidP="00883AA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83AAC">
        <w:rPr>
          <w:rFonts w:ascii="Times New Roman" w:hAnsi="Times New Roman" w:cs="Times New Roman"/>
          <w:lang w:val="en-US"/>
        </w:rPr>
        <w:t xml:space="preserve">Haspelmath M., Calude A., Spagnol M., Narrog H., Bamyacı E. Coding </w:t>
      </w:r>
      <w:r w:rsidR="00CC58D1">
        <w:rPr>
          <w:rFonts w:ascii="Times New Roman" w:hAnsi="Times New Roman" w:cs="Times New Roman"/>
          <w:lang w:val="en-US"/>
        </w:rPr>
        <w:t>c</w:t>
      </w:r>
      <w:r w:rsidRPr="00883AAC">
        <w:rPr>
          <w:rFonts w:ascii="Times New Roman" w:hAnsi="Times New Roman" w:cs="Times New Roman"/>
          <w:lang w:val="en-US"/>
        </w:rPr>
        <w:t>ausa</w:t>
      </w:r>
      <w:r w:rsidR="00CC58D1">
        <w:rPr>
          <w:rFonts w:ascii="Times New Roman" w:hAnsi="Times New Roman" w:cs="Times New Roman"/>
          <w:lang w:val="en-US"/>
        </w:rPr>
        <w:t>l-n</w:t>
      </w:r>
      <w:r w:rsidRPr="00883AAC">
        <w:rPr>
          <w:rFonts w:ascii="Times New Roman" w:hAnsi="Times New Roman" w:cs="Times New Roman"/>
          <w:lang w:val="en-US"/>
        </w:rPr>
        <w:t xml:space="preserve">oncausal </w:t>
      </w:r>
      <w:r w:rsidR="006D4355">
        <w:rPr>
          <w:rFonts w:ascii="Times New Roman" w:hAnsi="Times New Roman" w:cs="Times New Roman"/>
          <w:lang w:val="en-US"/>
        </w:rPr>
        <w:t>v</w:t>
      </w:r>
      <w:r w:rsidRPr="00883AAC">
        <w:rPr>
          <w:rFonts w:ascii="Times New Roman" w:hAnsi="Times New Roman" w:cs="Times New Roman"/>
          <w:lang w:val="en-US"/>
        </w:rPr>
        <w:t xml:space="preserve">erb </w:t>
      </w:r>
      <w:r w:rsidR="006D4355">
        <w:rPr>
          <w:rFonts w:ascii="Times New Roman" w:hAnsi="Times New Roman" w:cs="Times New Roman"/>
          <w:lang w:val="en-US"/>
        </w:rPr>
        <w:t>a</w:t>
      </w:r>
      <w:r w:rsidRPr="00883AAC">
        <w:rPr>
          <w:rFonts w:ascii="Times New Roman" w:hAnsi="Times New Roman" w:cs="Times New Roman"/>
          <w:lang w:val="en-US"/>
        </w:rPr>
        <w:t xml:space="preserve">lternations: A </w:t>
      </w:r>
      <w:r w:rsidR="006D4355">
        <w:rPr>
          <w:rFonts w:ascii="Times New Roman" w:hAnsi="Times New Roman" w:cs="Times New Roman"/>
          <w:lang w:val="en-US"/>
        </w:rPr>
        <w:t>f</w:t>
      </w:r>
      <w:r w:rsidRPr="00883AAC">
        <w:rPr>
          <w:rFonts w:ascii="Times New Roman" w:hAnsi="Times New Roman" w:cs="Times New Roman"/>
          <w:lang w:val="en-US"/>
        </w:rPr>
        <w:t>orm</w:t>
      </w:r>
      <w:r w:rsidR="00AF44E0" w:rsidRPr="00AF44E0">
        <w:rPr>
          <w:rFonts w:ascii="Times New Roman" w:hAnsi="Times New Roman" w:cs="Times New Roman"/>
          <w:lang w:val="en-US"/>
        </w:rPr>
        <w:t>-</w:t>
      </w:r>
      <w:r w:rsidR="006D4355">
        <w:rPr>
          <w:rFonts w:ascii="Times New Roman" w:hAnsi="Times New Roman" w:cs="Times New Roman"/>
          <w:lang w:val="en-US"/>
        </w:rPr>
        <w:t>f</w:t>
      </w:r>
      <w:r w:rsidRPr="00883AAC">
        <w:rPr>
          <w:rFonts w:ascii="Times New Roman" w:hAnsi="Times New Roman" w:cs="Times New Roman"/>
          <w:lang w:val="en-US"/>
        </w:rPr>
        <w:t xml:space="preserve">requency </w:t>
      </w:r>
      <w:r w:rsidR="006D4355">
        <w:rPr>
          <w:rFonts w:ascii="Times New Roman" w:hAnsi="Times New Roman" w:cs="Times New Roman"/>
          <w:lang w:val="en-US"/>
        </w:rPr>
        <w:t>c</w:t>
      </w:r>
      <w:r w:rsidRPr="00883AAC">
        <w:rPr>
          <w:rFonts w:ascii="Times New Roman" w:hAnsi="Times New Roman" w:cs="Times New Roman"/>
          <w:lang w:val="en-US"/>
        </w:rPr>
        <w:t xml:space="preserve">orrespondence </w:t>
      </w:r>
      <w:r w:rsidR="006D4355">
        <w:rPr>
          <w:rFonts w:ascii="Times New Roman" w:hAnsi="Times New Roman" w:cs="Times New Roman"/>
          <w:lang w:val="en-US"/>
        </w:rPr>
        <w:t>e</w:t>
      </w:r>
      <w:r w:rsidRPr="00883AAC">
        <w:rPr>
          <w:rFonts w:ascii="Times New Roman" w:hAnsi="Times New Roman" w:cs="Times New Roman"/>
          <w:lang w:val="en-US"/>
        </w:rPr>
        <w:t xml:space="preserve">xplanation </w:t>
      </w:r>
      <w:r w:rsidRPr="00883AAC">
        <w:rPr>
          <w:rFonts w:ascii="Times New Roman" w:hAnsi="Times New Roman" w:cs="Times New Roman"/>
          <w:lang w:val="en-US"/>
        </w:rPr>
        <w:t>//</w:t>
      </w:r>
      <w:r w:rsidRPr="00883AAC">
        <w:rPr>
          <w:rFonts w:ascii="Times New Roman" w:hAnsi="Times New Roman" w:cs="Times New Roman"/>
          <w:lang w:val="en-US"/>
        </w:rPr>
        <w:t xml:space="preserve"> Journal of Linguistics. 2014. Vol. 50, № 3. P. 587</w:t>
      </w:r>
      <w:r w:rsidR="00AF44E0" w:rsidRPr="00AF44E0">
        <w:rPr>
          <w:rFonts w:ascii="Times New Roman" w:hAnsi="Times New Roman" w:cs="Times New Roman"/>
          <w:lang w:val="en-US"/>
        </w:rPr>
        <w:t>—</w:t>
      </w:r>
      <w:r w:rsidRPr="00883AAC">
        <w:rPr>
          <w:rFonts w:ascii="Times New Roman" w:hAnsi="Times New Roman" w:cs="Times New Roman"/>
          <w:lang w:val="en-US"/>
        </w:rPr>
        <w:t>625.</w:t>
      </w:r>
    </w:p>
    <w:p w14:paraId="46802F15" w14:textId="0B58E8CE" w:rsidR="00883AAC" w:rsidRPr="00883AAC" w:rsidRDefault="00883AAC" w:rsidP="00883AA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83AAC">
        <w:rPr>
          <w:rFonts w:ascii="Times New Roman" w:hAnsi="Times New Roman" w:cs="Times New Roman"/>
          <w:lang w:val="en-US"/>
        </w:rPr>
        <w:t xml:space="preserve">Heidinger S. Reflexive and </w:t>
      </w:r>
      <w:r w:rsidR="002B24DD">
        <w:rPr>
          <w:rFonts w:ascii="Times New Roman" w:hAnsi="Times New Roman" w:cs="Times New Roman"/>
          <w:lang w:val="en-US"/>
        </w:rPr>
        <w:t>u</w:t>
      </w:r>
      <w:r w:rsidRPr="00883AAC">
        <w:rPr>
          <w:rFonts w:ascii="Times New Roman" w:hAnsi="Times New Roman" w:cs="Times New Roman"/>
          <w:lang w:val="en-US"/>
        </w:rPr>
        <w:t xml:space="preserve">nmarked </w:t>
      </w:r>
      <w:r w:rsidR="002B24DD">
        <w:rPr>
          <w:rFonts w:ascii="Times New Roman" w:hAnsi="Times New Roman" w:cs="Times New Roman"/>
          <w:lang w:val="en-US"/>
        </w:rPr>
        <w:t>a</w:t>
      </w:r>
      <w:r w:rsidRPr="00883AAC">
        <w:rPr>
          <w:rFonts w:ascii="Times New Roman" w:hAnsi="Times New Roman" w:cs="Times New Roman"/>
          <w:lang w:val="en-US"/>
        </w:rPr>
        <w:t>nticausatives in French and Spanish</w:t>
      </w:r>
      <w:r w:rsidR="002B24DD" w:rsidRPr="002B24DD">
        <w:rPr>
          <w:rFonts w:ascii="Times New Roman" w:hAnsi="Times New Roman" w:cs="Times New Roman"/>
          <w:lang w:val="en-US"/>
        </w:rPr>
        <w:t>:</w:t>
      </w:r>
      <w:r w:rsidRPr="00883AAC">
        <w:rPr>
          <w:rFonts w:ascii="Times New Roman" w:hAnsi="Times New Roman" w:cs="Times New Roman"/>
          <w:lang w:val="en-US"/>
        </w:rPr>
        <w:t xml:space="preserve"> Frequency of </w:t>
      </w:r>
      <w:r w:rsidR="002B24DD">
        <w:rPr>
          <w:rFonts w:ascii="Times New Roman" w:hAnsi="Times New Roman" w:cs="Times New Roman"/>
          <w:lang w:val="en-US"/>
        </w:rPr>
        <w:t>t</w:t>
      </w:r>
      <w:r w:rsidRPr="00883AAC">
        <w:rPr>
          <w:rFonts w:ascii="Times New Roman" w:hAnsi="Times New Roman" w:cs="Times New Roman"/>
          <w:lang w:val="en-US"/>
        </w:rPr>
        <w:t xml:space="preserve">ransitive </w:t>
      </w:r>
      <w:r w:rsidR="000D75F7">
        <w:rPr>
          <w:rFonts w:ascii="Times New Roman" w:hAnsi="Times New Roman" w:cs="Times New Roman"/>
          <w:lang w:val="en-US"/>
        </w:rPr>
        <w:t>u</w:t>
      </w:r>
      <w:r w:rsidRPr="00883AAC">
        <w:rPr>
          <w:rFonts w:ascii="Times New Roman" w:hAnsi="Times New Roman" w:cs="Times New Roman"/>
          <w:lang w:val="en-US"/>
        </w:rPr>
        <w:t xml:space="preserve">se and </w:t>
      </w:r>
      <w:r w:rsidR="000D75F7">
        <w:rPr>
          <w:rFonts w:ascii="Times New Roman" w:hAnsi="Times New Roman" w:cs="Times New Roman"/>
          <w:lang w:val="en-US"/>
        </w:rPr>
        <w:t>u</w:t>
      </w:r>
      <w:r w:rsidRPr="00883AAC">
        <w:rPr>
          <w:rFonts w:ascii="Times New Roman" w:hAnsi="Times New Roman" w:cs="Times New Roman"/>
          <w:lang w:val="en-US"/>
        </w:rPr>
        <w:t xml:space="preserve">ndergoer </w:t>
      </w:r>
      <w:r w:rsidR="000D75F7">
        <w:rPr>
          <w:rFonts w:ascii="Times New Roman" w:hAnsi="Times New Roman" w:cs="Times New Roman"/>
          <w:lang w:val="en-US"/>
        </w:rPr>
        <w:t>o</w:t>
      </w:r>
      <w:r w:rsidRPr="00883AAC">
        <w:rPr>
          <w:rFonts w:ascii="Times New Roman" w:hAnsi="Times New Roman" w:cs="Times New Roman"/>
          <w:lang w:val="en-US"/>
        </w:rPr>
        <w:t xml:space="preserve">verlap </w:t>
      </w:r>
      <w:r w:rsidRPr="00883AAC">
        <w:rPr>
          <w:rFonts w:ascii="Times New Roman" w:hAnsi="Times New Roman" w:cs="Times New Roman"/>
          <w:lang w:val="en-US"/>
        </w:rPr>
        <w:t>//</w:t>
      </w:r>
      <w:r w:rsidRPr="00883AAC">
        <w:rPr>
          <w:rFonts w:ascii="Times New Roman" w:hAnsi="Times New Roman" w:cs="Times New Roman"/>
          <w:lang w:val="en-US"/>
        </w:rPr>
        <w:t xml:space="preserve"> </w:t>
      </w:r>
      <w:r w:rsidR="000D75F7">
        <w:rPr>
          <w:rFonts w:ascii="Times New Roman" w:hAnsi="Times New Roman" w:cs="Times New Roman"/>
          <w:lang w:val="en-US"/>
        </w:rPr>
        <w:t>Languages</w:t>
      </w:r>
      <w:r w:rsidRPr="00883AAC">
        <w:rPr>
          <w:rFonts w:ascii="Times New Roman" w:hAnsi="Times New Roman" w:cs="Times New Roman"/>
          <w:lang w:val="en-US"/>
        </w:rPr>
        <w:t>.</w:t>
      </w:r>
      <w:r w:rsidR="00CC58D1" w:rsidRPr="00CC58D1">
        <w:rPr>
          <w:rFonts w:ascii="Times New Roman" w:hAnsi="Times New Roman" w:cs="Times New Roman"/>
          <w:lang w:val="en-US"/>
        </w:rPr>
        <w:t xml:space="preserve"> </w:t>
      </w:r>
      <w:r w:rsidR="00AF44E0" w:rsidRPr="00AF44E0">
        <w:rPr>
          <w:rFonts w:ascii="Times New Roman" w:hAnsi="Times New Roman" w:cs="Times New Roman"/>
          <w:lang w:val="en-US"/>
        </w:rPr>
        <w:t xml:space="preserve"> </w:t>
      </w:r>
      <w:r w:rsidRPr="00883AAC">
        <w:rPr>
          <w:rFonts w:ascii="Times New Roman" w:hAnsi="Times New Roman" w:cs="Times New Roman"/>
          <w:lang w:val="en-US"/>
        </w:rPr>
        <w:t xml:space="preserve">2019. </w:t>
      </w:r>
      <w:r w:rsidR="000D75F7">
        <w:rPr>
          <w:rFonts w:ascii="Times New Roman" w:hAnsi="Times New Roman" w:cs="Times New Roman"/>
          <w:lang w:val="en-US"/>
        </w:rPr>
        <w:t xml:space="preserve">Vol. 216 </w:t>
      </w:r>
      <w:r w:rsidRPr="00883AAC">
        <w:rPr>
          <w:rFonts w:ascii="Times New Roman" w:hAnsi="Times New Roman" w:cs="Times New Roman"/>
          <w:lang w:val="en-US"/>
        </w:rPr>
        <w:t xml:space="preserve">№ </w:t>
      </w:r>
      <w:r w:rsidR="000D75F7">
        <w:rPr>
          <w:rFonts w:ascii="Times New Roman" w:hAnsi="Times New Roman" w:cs="Times New Roman"/>
          <w:lang w:val="en-US"/>
        </w:rPr>
        <w:t>4</w:t>
      </w:r>
      <w:r w:rsidRPr="00883AAC">
        <w:rPr>
          <w:rFonts w:ascii="Times New Roman" w:hAnsi="Times New Roman" w:cs="Times New Roman"/>
          <w:lang w:val="en-US"/>
        </w:rPr>
        <w:t xml:space="preserve">. P. </w:t>
      </w:r>
      <w:r w:rsidR="000D75F7">
        <w:rPr>
          <w:rFonts w:ascii="Times New Roman" w:hAnsi="Times New Roman" w:cs="Times New Roman"/>
          <w:lang w:val="en-US"/>
        </w:rPr>
        <w:t>53</w:t>
      </w:r>
      <w:r w:rsidR="00AF44E0" w:rsidRPr="00AF44E0">
        <w:rPr>
          <w:rFonts w:ascii="Times New Roman" w:hAnsi="Times New Roman" w:cs="Times New Roman"/>
          <w:lang w:val="en-US"/>
        </w:rPr>
        <w:t>—</w:t>
      </w:r>
      <w:r w:rsidR="000D75F7">
        <w:rPr>
          <w:rFonts w:ascii="Times New Roman" w:hAnsi="Times New Roman" w:cs="Times New Roman"/>
          <w:lang w:val="en-US"/>
        </w:rPr>
        <w:t>69</w:t>
      </w:r>
      <w:r w:rsidRPr="00883AAC">
        <w:rPr>
          <w:rFonts w:ascii="Times New Roman" w:hAnsi="Times New Roman" w:cs="Times New Roman"/>
          <w:lang w:val="en-US"/>
        </w:rPr>
        <w:t>.</w:t>
      </w:r>
    </w:p>
    <w:p w14:paraId="5DC45B67" w14:textId="6021AA74" w:rsidR="00883AAC" w:rsidRPr="00883AAC" w:rsidRDefault="00883AAC" w:rsidP="00883AA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83AAC">
        <w:rPr>
          <w:rFonts w:ascii="Times New Roman" w:hAnsi="Times New Roman" w:cs="Times New Roman"/>
          <w:lang w:val="en-US"/>
        </w:rPr>
        <w:t xml:space="preserve">Soares da Silva A., Afonso S., Palú D., Franco K. Null se </w:t>
      </w:r>
      <w:r w:rsidR="006D4355">
        <w:rPr>
          <w:rFonts w:ascii="Times New Roman" w:hAnsi="Times New Roman" w:cs="Times New Roman"/>
          <w:lang w:val="en-US"/>
        </w:rPr>
        <w:t>c</w:t>
      </w:r>
      <w:r w:rsidRPr="00883AAC">
        <w:rPr>
          <w:rFonts w:ascii="Times New Roman" w:hAnsi="Times New Roman" w:cs="Times New Roman"/>
          <w:lang w:val="en-US"/>
        </w:rPr>
        <w:t xml:space="preserve">onstructions in Brazilian and European Portuguese: Morphosyntactic </w:t>
      </w:r>
      <w:r w:rsidR="006D4355">
        <w:rPr>
          <w:rFonts w:ascii="Times New Roman" w:hAnsi="Times New Roman" w:cs="Times New Roman"/>
          <w:lang w:val="en-US"/>
        </w:rPr>
        <w:t>d</w:t>
      </w:r>
      <w:r w:rsidRPr="00883AAC">
        <w:rPr>
          <w:rFonts w:ascii="Times New Roman" w:hAnsi="Times New Roman" w:cs="Times New Roman"/>
          <w:lang w:val="en-US"/>
        </w:rPr>
        <w:t xml:space="preserve">eletion or </w:t>
      </w:r>
      <w:r w:rsidR="006D4355">
        <w:rPr>
          <w:rFonts w:ascii="Times New Roman" w:hAnsi="Times New Roman" w:cs="Times New Roman"/>
          <w:lang w:val="en-US"/>
        </w:rPr>
        <w:t>e</w:t>
      </w:r>
      <w:r w:rsidRPr="00883AAC">
        <w:rPr>
          <w:rFonts w:ascii="Times New Roman" w:hAnsi="Times New Roman" w:cs="Times New Roman"/>
          <w:lang w:val="en-US"/>
        </w:rPr>
        <w:t xml:space="preserve">mergence of </w:t>
      </w:r>
      <w:r w:rsidR="006D4355">
        <w:rPr>
          <w:rFonts w:ascii="Times New Roman" w:hAnsi="Times New Roman" w:cs="Times New Roman"/>
          <w:lang w:val="en-US"/>
        </w:rPr>
        <w:t>n</w:t>
      </w:r>
      <w:r w:rsidRPr="00883AAC">
        <w:rPr>
          <w:rFonts w:ascii="Times New Roman" w:hAnsi="Times New Roman" w:cs="Times New Roman"/>
          <w:lang w:val="en-US"/>
        </w:rPr>
        <w:t xml:space="preserve">ew </w:t>
      </w:r>
      <w:r w:rsidR="006D4355">
        <w:rPr>
          <w:rFonts w:ascii="Times New Roman" w:hAnsi="Times New Roman" w:cs="Times New Roman"/>
          <w:lang w:val="en-US"/>
        </w:rPr>
        <w:t>c</w:t>
      </w:r>
      <w:r w:rsidRPr="00883AAC">
        <w:rPr>
          <w:rFonts w:ascii="Times New Roman" w:hAnsi="Times New Roman" w:cs="Times New Roman"/>
          <w:lang w:val="en-US"/>
        </w:rPr>
        <w:t xml:space="preserve">onstructions? </w:t>
      </w:r>
      <w:r w:rsidRPr="00883AAC">
        <w:rPr>
          <w:rFonts w:ascii="Times New Roman" w:hAnsi="Times New Roman" w:cs="Times New Roman"/>
          <w:lang w:val="en-US"/>
        </w:rPr>
        <w:t>//</w:t>
      </w:r>
      <w:r w:rsidRPr="00883AAC">
        <w:rPr>
          <w:rFonts w:ascii="Times New Roman" w:hAnsi="Times New Roman" w:cs="Times New Roman"/>
          <w:lang w:val="en-US"/>
        </w:rPr>
        <w:t xml:space="preserve"> Cognitive Linguistics. </w:t>
      </w:r>
      <w:r w:rsidR="00AF44E0" w:rsidRPr="00AF44E0">
        <w:rPr>
          <w:rFonts w:ascii="Times New Roman" w:hAnsi="Times New Roman" w:cs="Times New Roman"/>
          <w:lang w:val="en-US"/>
        </w:rPr>
        <w:t xml:space="preserve"> </w:t>
      </w:r>
      <w:r w:rsidRPr="00883AAC">
        <w:rPr>
          <w:rFonts w:ascii="Times New Roman" w:hAnsi="Times New Roman" w:cs="Times New Roman"/>
          <w:lang w:val="en-US"/>
        </w:rPr>
        <w:t xml:space="preserve">2021. Vol. 32, № </w:t>
      </w:r>
      <w:r w:rsidR="006D4355">
        <w:rPr>
          <w:rFonts w:ascii="Times New Roman" w:hAnsi="Times New Roman" w:cs="Times New Roman"/>
          <w:lang w:val="en-US"/>
        </w:rPr>
        <w:t>1</w:t>
      </w:r>
      <w:r w:rsidRPr="00883AAC">
        <w:rPr>
          <w:rFonts w:ascii="Times New Roman" w:hAnsi="Times New Roman" w:cs="Times New Roman"/>
          <w:lang w:val="en-US"/>
        </w:rPr>
        <w:t>.</w:t>
      </w:r>
      <w:r w:rsidR="00AF44E0" w:rsidRPr="00AF44E0">
        <w:rPr>
          <w:rFonts w:ascii="Times New Roman" w:hAnsi="Times New Roman" w:cs="Times New Roman"/>
          <w:lang w:val="en-US"/>
        </w:rPr>
        <w:t xml:space="preserve"> </w:t>
      </w:r>
      <w:r w:rsidRPr="00883AAC">
        <w:rPr>
          <w:rFonts w:ascii="Times New Roman" w:hAnsi="Times New Roman" w:cs="Times New Roman"/>
          <w:lang w:val="en-US"/>
        </w:rPr>
        <w:t xml:space="preserve">P. </w:t>
      </w:r>
      <w:r w:rsidR="006D4355">
        <w:rPr>
          <w:rFonts w:ascii="Times New Roman" w:hAnsi="Times New Roman" w:cs="Times New Roman"/>
          <w:lang w:val="en-US"/>
        </w:rPr>
        <w:t>1</w:t>
      </w:r>
      <w:r w:rsidRPr="00883AAC">
        <w:rPr>
          <w:rFonts w:ascii="Times New Roman" w:hAnsi="Times New Roman" w:cs="Times New Roman"/>
          <w:lang w:val="en-US"/>
        </w:rPr>
        <w:t>59</w:t>
      </w:r>
      <w:r w:rsidR="00AF44E0" w:rsidRPr="00AF44E0">
        <w:rPr>
          <w:rFonts w:ascii="Times New Roman" w:hAnsi="Times New Roman" w:cs="Times New Roman"/>
          <w:lang w:val="en-US"/>
        </w:rPr>
        <w:t>—</w:t>
      </w:r>
      <w:r w:rsidR="006D4355">
        <w:rPr>
          <w:rFonts w:ascii="Times New Roman" w:hAnsi="Times New Roman" w:cs="Times New Roman"/>
          <w:lang w:val="en-US"/>
        </w:rPr>
        <w:t>1</w:t>
      </w:r>
      <w:r w:rsidRPr="00883AAC">
        <w:rPr>
          <w:rFonts w:ascii="Times New Roman" w:hAnsi="Times New Roman" w:cs="Times New Roman"/>
          <w:lang w:val="en-US"/>
        </w:rPr>
        <w:t>93.</w:t>
      </w:r>
    </w:p>
    <w:p w14:paraId="4068FAFC" w14:textId="7D95623D" w:rsidR="006D4355" w:rsidRPr="006D4355" w:rsidRDefault="00883AAC" w:rsidP="006D435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6D4355">
        <w:rPr>
          <w:rFonts w:ascii="Times New Roman" w:hAnsi="Times New Roman" w:cs="Times New Roman"/>
          <w:lang w:val="es-ES"/>
        </w:rPr>
        <w:t>Vivanco M</w:t>
      </w:r>
      <w:r w:rsidR="006D4355">
        <w:rPr>
          <w:rFonts w:ascii="Times New Roman" w:hAnsi="Times New Roman" w:cs="Times New Roman"/>
          <w:lang w:val="es-ES"/>
        </w:rPr>
        <w:t>.</w:t>
      </w:r>
      <w:r w:rsidR="006D4355" w:rsidRPr="006D4355">
        <w:rPr>
          <w:lang w:val="es-ES"/>
        </w:rPr>
        <w:t xml:space="preserve"> </w:t>
      </w:r>
      <w:r w:rsidR="006D4355" w:rsidRPr="006D4355">
        <w:rPr>
          <w:rFonts w:ascii="Times New Roman" w:hAnsi="Times New Roman" w:cs="Times New Roman"/>
          <w:lang w:val="es-ES"/>
        </w:rPr>
        <w:t>La conceptualización de los eventos de cambio de estado y la alternancia lábil en español</w:t>
      </w:r>
      <w:r w:rsidR="002B24DD" w:rsidRPr="002B24DD">
        <w:rPr>
          <w:rFonts w:ascii="Times New Roman" w:hAnsi="Times New Roman" w:cs="Times New Roman"/>
          <w:lang w:val="es-ES"/>
        </w:rPr>
        <w:t xml:space="preserve"> //</w:t>
      </w:r>
      <w:r w:rsidR="00CC58D1" w:rsidRPr="006D4355">
        <w:rPr>
          <w:rFonts w:ascii="Times New Roman" w:hAnsi="Times New Roman" w:cs="Times New Roman"/>
          <w:lang w:val="es-ES"/>
        </w:rPr>
        <w:t xml:space="preserve"> </w:t>
      </w:r>
      <w:r w:rsidR="002B24DD" w:rsidRPr="002B24DD">
        <w:rPr>
          <w:rFonts w:ascii="Times New Roman" w:hAnsi="Times New Roman" w:cs="Times New Roman"/>
          <w:lang w:val="es-ES"/>
        </w:rPr>
        <w:t>Estudios De Lingüística</w:t>
      </w:r>
      <w:r w:rsidR="002B24DD" w:rsidRPr="002B24DD">
        <w:rPr>
          <w:rFonts w:ascii="Times New Roman" w:hAnsi="Times New Roman" w:cs="Times New Roman"/>
          <w:lang w:val="es-ES"/>
        </w:rPr>
        <w:t>.</w:t>
      </w:r>
      <w:r w:rsidRPr="006D4355">
        <w:rPr>
          <w:rFonts w:ascii="Times New Roman" w:hAnsi="Times New Roman" w:cs="Times New Roman"/>
          <w:lang w:val="es-ES"/>
        </w:rPr>
        <w:t xml:space="preserve"> 2017.</w:t>
      </w:r>
      <w:r w:rsidR="00AF44E0" w:rsidRPr="006D4355">
        <w:rPr>
          <w:rFonts w:ascii="Times New Roman" w:hAnsi="Times New Roman" w:cs="Times New Roman"/>
          <w:lang w:val="es-ES"/>
        </w:rPr>
        <w:t xml:space="preserve"> </w:t>
      </w:r>
      <w:r w:rsidR="006D4355" w:rsidRPr="006D4355">
        <w:rPr>
          <w:rFonts w:ascii="Times New Roman" w:hAnsi="Times New Roman" w:cs="Times New Roman"/>
          <w:lang w:val="es-ES"/>
        </w:rPr>
        <w:t xml:space="preserve">P. </w:t>
      </w:r>
      <w:r w:rsidR="006D4355" w:rsidRPr="006D4355">
        <w:rPr>
          <w:rFonts w:ascii="Times New Roman" w:hAnsi="Times New Roman" w:cs="Times New Roman"/>
          <w:lang w:val="es-ES"/>
        </w:rPr>
        <w:t>327</w:t>
      </w:r>
      <w:r w:rsidR="006D4355" w:rsidRPr="006D4355">
        <w:rPr>
          <w:rFonts w:ascii="Times New Roman" w:hAnsi="Times New Roman" w:cs="Times New Roman"/>
          <w:lang w:val="es-ES"/>
        </w:rPr>
        <w:t>—</w:t>
      </w:r>
      <w:r w:rsidR="006D4355" w:rsidRPr="006D4355">
        <w:rPr>
          <w:rFonts w:ascii="Times New Roman" w:hAnsi="Times New Roman" w:cs="Times New Roman"/>
          <w:lang w:val="es-ES"/>
        </w:rPr>
        <w:t>347</w:t>
      </w:r>
      <w:r w:rsidR="006D4355" w:rsidRPr="006D4355">
        <w:rPr>
          <w:rFonts w:ascii="Times New Roman" w:hAnsi="Times New Roman" w:cs="Times New Roman"/>
          <w:lang w:val="es-ES"/>
        </w:rPr>
        <w:t>.</w:t>
      </w:r>
    </w:p>
    <w:p w14:paraId="5BC6C3AD" w14:textId="1171ED5E" w:rsidR="00D254FB" w:rsidRPr="006D4355" w:rsidRDefault="00883AAC" w:rsidP="00883AA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D4355">
        <w:rPr>
          <w:rFonts w:ascii="Times New Roman" w:hAnsi="Times New Roman" w:cs="Times New Roman"/>
          <w:lang w:val="en-US"/>
        </w:rPr>
        <w:t>Wöß L. Das transitive Subjekt in der Kausativ-Antikausativ-Alternation: Eine Analyse spanischer Verben der Zustandsveränderung.</w:t>
      </w:r>
      <w:r w:rsidR="002B24DD">
        <w:rPr>
          <w:rFonts w:ascii="Times New Roman" w:hAnsi="Times New Roman" w:cs="Times New Roman"/>
          <w:lang w:val="en-US"/>
        </w:rPr>
        <w:t xml:space="preserve"> Graz</w:t>
      </w:r>
      <w:r w:rsidRPr="006D4355">
        <w:rPr>
          <w:rFonts w:ascii="Times New Roman" w:hAnsi="Times New Roman" w:cs="Times New Roman"/>
          <w:lang w:val="en-US"/>
        </w:rPr>
        <w:t>, 202</w:t>
      </w:r>
      <w:r w:rsidR="002B24DD" w:rsidRPr="002B24DD">
        <w:rPr>
          <w:rFonts w:ascii="Times New Roman" w:hAnsi="Times New Roman" w:cs="Times New Roman"/>
          <w:lang w:val="en-US"/>
        </w:rPr>
        <w:t>5</w:t>
      </w:r>
      <w:r w:rsidRPr="006D4355">
        <w:rPr>
          <w:rFonts w:ascii="Times New Roman" w:hAnsi="Times New Roman" w:cs="Times New Roman"/>
          <w:lang w:val="en-US"/>
        </w:rPr>
        <w:t>.</w:t>
      </w:r>
      <w:r w:rsidR="00CC58D1" w:rsidRPr="006D4355">
        <w:rPr>
          <w:rFonts w:ascii="Times New Roman" w:hAnsi="Times New Roman" w:cs="Times New Roman"/>
          <w:lang w:val="en-US"/>
        </w:rPr>
        <w:t xml:space="preserve"> </w:t>
      </w:r>
    </w:p>
    <w:sectPr w:rsidR="00D254FB" w:rsidRPr="006D4355" w:rsidSect="00D254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1D0F"/>
    <w:multiLevelType w:val="multilevel"/>
    <w:tmpl w:val="FCCE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35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FB"/>
    <w:rsid w:val="000D75F7"/>
    <w:rsid w:val="00254500"/>
    <w:rsid w:val="002B24DD"/>
    <w:rsid w:val="00332222"/>
    <w:rsid w:val="006D4355"/>
    <w:rsid w:val="00827CFD"/>
    <w:rsid w:val="00883AAC"/>
    <w:rsid w:val="00AC63E2"/>
    <w:rsid w:val="00AF44E0"/>
    <w:rsid w:val="00CC58D1"/>
    <w:rsid w:val="00D254FB"/>
    <w:rsid w:val="00F65775"/>
    <w:rsid w:val="00F750FD"/>
    <w:rsid w:val="00FA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9A09"/>
  <w15:chartTrackingRefBased/>
  <w15:docId w15:val="{FB154758-9DF4-415A-B5ED-5C781096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4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4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4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4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4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4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4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4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4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54F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883AA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83AAC"/>
  </w:style>
  <w:style w:type="paragraph" w:styleId="ae">
    <w:name w:val="Body Text First Indent"/>
    <w:basedOn w:val="ac"/>
    <w:link w:val="af"/>
    <w:uiPriority w:val="99"/>
    <w:unhideWhenUsed/>
    <w:rsid w:val="00883AAC"/>
    <w:pPr>
      <w:spacing w:after="160"/>
      <w:ind w:firstLine="360"/>
    </w:pPr>
  </w:style>
  <w:style w:type="character" w:customStyle="1" w:styleId="af">
    <w:name w:val="Красная строка Знак"/>
    <w:basedOn w:val="ad"/>
    <w:link w:val="ae"/>
    <w:uiPriority w:val="99"/>
    <w:rsid w:val="0088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88D2-C1C0-44F9-A013-754C4433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573</Words>
  <Characters>4076</Characters>
  <Application>Microsoft Office Word</Application>
  <DocSecurity>0</DocSecurity>
  <Lines>66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Лысогуб Александра</dc:creator>
  <cp:keywords/>
  <dc:description/>
  <cp:lastModifiedBy>Лысогуб Александра</cp:lastModifiedBy>
  <cp:revision>3</cp:revision>
  <dcterms:created xsi:type="dcterms:W3CDTF">2026-02-24T19:00:00Z</dcterms:created>
  <dcterms:modified xsi:type="dcterms:W3CDTF">2026-02-24T19:52:00Z</dcterms:modified>
</cp:coreProperties>
</file>