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20.odttf" ContentType="application/vnd.openxmlformats-officedocument.obfuscatedFont"/>
  <Override PartName="/word/fonts/font19.odttf" ContentType="application/vnd.openxmlformats-officedocument.obfuscatedFont"/>
  <Override PartName="/word/fonts/font4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ind w:firstLine="709"/>
        <w:jc w:val="center"/>
        <w:rPr>
          <w:rFonts w:ascii="Times New Roman" w:hAnsi="Times New Roman" w:eastAsia="Times New Roman" w:cs="Times New Roman"/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Согласование сказуемого с подлежащим — счетным оборотом, включающим числительные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</w:rPr>
        <w:t>«один», «два», «три», «четыре»: лингводидактический аспект</w:t>
      </w:r>
    </w:p>
    <w:p>
      <w:pPr>
        <w:pStyle w:val="LOnormal"/>
        <w:ind w:firstLine="709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LOnormal"/>
        <w:ind w:firstLine="709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Пуерова Софья Георгиевна</w:t>
      </w:r>
    </w:p>
    <w:p>
      <w:pPr>
        <w:pStyle w:val="LOnormal"/>
        <w:ind w:firstLine="709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LOnormal"/>
        <w:ind w:firstLine="709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Студентка Московского государственного университета имени М.В. Ломоносова</w:t>
      </w:r>
    </w:p>
    <w:p>
      <w:pPr>
        <w:pStyle w:val="LOnormal"/>
        <w:ind w:firstLine="709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LOnormal"/>
        <w:ind w:firstLine="709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Москва, Россия</w:t>
      </w:r>
    </w:p>
    <w:p>
      <w:pPr>
        <w:pStyle w:val="LOnormal"/>
        <w:ind w:firstLine="709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LOnormal"/>
        <w:ind w:firstLine="709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LOnormal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Многие исследователи отмечают, что согласование представляет собой «гораздо более простой «формализованный» способ установления связи между словами» [Скобликова: 174], по сравнению с управлением. Однако существует немалое количество сложных случаев согласования, вызывающих трудности как у иностранцев, изучающих русский язык как иностранный, так и у носителей языка.</w:t>
      </w:r>
    </w:p>
    <w:p>
      <w:pPr>
        <w:pStyle w:val="LOnormal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Один из сложных случаев — согласование сказуемого с подлежащим, выраженным т. н. количественно-именным сочетанием, или счетным оборотом. Счетный оборот может включать в себя различные слова со значением количества: числительное (</w:t>
      </w:r>
      <w:r>
        <w:rPr>
          <w:rFonts w:eastAsia="Times New Roman" w:cs="Times New Roman" w:ascii="Times New Roman" w:hAnsi="Times New Roman"/>
          <w:i/>
          <w:iCs/>
        </w:rPr>
        <w:t>два яблока</w:t>
      </w:r>
      <w:r>
        <w:rPr>
          <w:rFonts w:eastAsia="Times New Roman" w:cs="Times New Roman" w:ascii="Times New Roman" w:hAnsi="Times New Roman"/>
        </w:rPr>
        <w:t>), существительное (</w:t>
      </w:r>
      <w:r>
        <w:rPr>
          <w:rFonts w:eastAsia="Times New Roman" w:cs="Times New Roman" w:ascii="Times New Roman" w:hAnsi="Times New Roman"/>
          <w:i/>
          <w:iCs/>
        </w:rPr>
        <w:t>сотня военнопленных</w:t>
      </w:r>
      <w:r>
        <w:rPr>
          <w:rFonts w:eastAsia="Times New Roman" w:cs="Times New Roman" w:ascii="Times New Roman" w:hAnsi="Times New Roman"/>
        </w:rPr>
        <w:t>), сочетание этих двух слов (</w:t>
      </w:r>
      <w:r>
        <w:rPr>
          <w:rFonts w:eastAsia="Times New Roman" w:cs="Times New Roman" w:ascii="Times New Roman" w:hAnsi="Times New Roman"/>
          <w:i/>
          <w:iCs/>
        </w:rPr>
        <w:t>две сотни военнопленных</w:t>
      </w:r>
      <w:r>
        <w:rPr>
          <w:rFonts w:eastAsia="Times New Roman" w:cs="Times New Roman" w:ascii="Times New Roman" w:hAnsi="Times New Roman"/>
        </w:rPr>
        <w:t>), существительное, называющее неопределенное</w:t>
      </w:r>
      <w:r>
        <w:rPr>
          <w:rFonts w:eastAsia="Times New Roman" w:cs="Times New Roman" w:ascii="Times New Roman" w:hAnsi="Times New Roman"/>
          <w:color w:val="EE0000"/>
        </w:rPr>
        <w:t xml:space="preserve"> </w:t>
      </w:r>
      <w:r>
        <w:rPr>
          <w:rFonts w:eastAsia="Times New Roman" w:cs="Times New Roman" w:ascii="Times New Roman" w:hAnsi="Times New Roman"/>
        </w:rPr>
        <w:t>количество (</w:t>
      </w:r>
      <w:r>
        <w:rPr>
          <w:rFonts w:eastAsia="Times New Roman" w:cs="Times New Roman" w:ascii="Times New Roman" w:hAnsi="Times New Roman"/>
          <w:i/>
          <w:iCs/>
        </w:rPr>
        <w:t>часть учеников</w:t>
      </w:r>
      <w:r>
        <w:rPr>
          <w:rFonts w:eastAsia="Times New Roman" w:cs="Times New Roman" w:ascii="Times New Roman" w:hAnsi="Times New Roman"/>
        </w:rPr>
        <w:t>), «количественное слово» (</w:t>
      </w:r>
      <w:r>
        <w:rPr>
          <w:rFonts w:eastAsia="Times New Roman" w:cs="Times New Roman" w:ascii="Times New Roman" w:hAnsi="Times New Roman"/>
          <w:i/>
          <w:iCs/>
        </w:rPr>
        <w:t>много овощей</w:t>
      </w:r>
      <w:r>
        <w:rPr>
          <w:rFonts w:eastAsia="Times New Roman" w:cs="Times New Roman" w:ascii="Times New Roman" w:hAnsi="Times New Roman"/>
        </w:rPr>
        <w:t>).</w:t>
      </w:r>
    </w:p>
    <w:p>
      <w:pPr>
        <w:pStyle w:val="LOnormal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</w:rPr>
        <w:t xml:space="preserve">Даже внутри одной подгруппы могут действовать разные правила. Так, в «Книге о грамматике» под редакцией А. В. Величко особое внимание уделяется сочетаниям с количественными числительными </w:t>
      </w:r>
      <w:r>
        <w:rPr>
          <w:rFonts w:eastAsia="Times New Roman" w:cs="Times New Roman" w:ascii="Times New Roman" w:hAnsi="Times New Roman"/>
          <w:i/>
          <w:iCs/>
        </w:rPr>
        <w:t xml:space="preserve">один, два, три </w:t>
      </w:r>
      <w:r>
        <w:rPr>
          <w:rFonts w:eastAsia="Times New Roman" w:cs="Times New Roman" w:ascii="Times New Roman" w:hAnsi="Times New Roman"/>
        </w:rPr>
        <w:t>и</w:t>
      </w:r>
      <w:r>
        <w:rPr>
          <w:rFonts w:eastAsia="Times New Roman" w:cs="Times New Roman" w:ascii="Times New Roman" w:hAnsi="Times New Roman"/>
          <w:i/>
          <w:iCs/>
        </w:rPr>
        <w:t xml:space="preserve"> четыре</w:t>
      </w:r>
      <w:r>
        <w:rPr>
          <w:rFonts w:eastAsia="Times New Roman" w:cs="Times New Roman" w:ascii="Times New Roman" w:hAnsi="Times New Roman"/>
        </w:rPr>
        <w:t xml:space="preserve">. Отмечается, что, если числительное заканчивается на </w:t>
      </w:r>
      <w:r>
        <w:rPr>
          <w:rFonts w:eastAsia="Times New Roman" w:cs="Times New Roman" w:ascii="Times New Roman" w:hAnsi="Times New Roman"/>
          <w:i/>
          <w:iCs/>
        </w:rPr>
        <w:t>один</w:t>
      </w:r>
      <w:r>
        <w:rPr>
          <w:rFonts w:eastAsia="Times New Roman" w:cs="Times New Roman" w:ascii="Times New Roman" w:hAnsi="Times New Roman"/>
        </w:rPr>
        <w:t>, то сказуемое употребляется в форме</w:t>
      </w:r>
      <w:r>
        <w:rPr>
          <w:rFonts w:eastAsia="Times New Roman" w:cs="Times New Roman" w:ascii="Times New Roman" w:hAnsi="Times New Roman"/>
          <w:color w:val="EE0000"/>
        </w:rPr>
        <w:t xml:space="preserve"> </w:t>
      </w:r>
      <w:r>
        <w:rPr>
          <w:rFonts w:eastAsia="Times New Roman" w:cs="Times New Roman" w:ascii="Times New Roman" w:hAnsi="Times New Roman"/>
        </w:rPr>
        <w:t xml:space="preserve">ед. ч.: </w:t>
      </w:r>
      <w:r>
        <w:rPr>
          <w:rFonts w:eastAsia="Times New Roman" w:cs="Times New Roman" w:ascii="Times New Roman" w:hAnsi="Times New Roman"/>
          <w:i/>
          <w:iCs/>
        </w:rPr>
        <w:t>В этом семестре двадцать один преподаватель проходит обучение на факультете повышения квалификации</w:t>
      </w:r>
      <w:r>
        <w:rPr>
          <w:rFonts w:eastAsia="Times New Roman" w:cs="Times New Roman" w:ascii="Times New Roman" w:hAnsi="Times New Roman"/>
        </w:rPr>
        <w:t xml:space="preserve">. И, напротив, «сказуемое употребляется преимущественно во мн. ч., если в состав количественно-именного сочетания входят числительные </w:t>
      </w:r>
      <w:r>
        <w:rPr>
          <w:rFonts w:eastAsia="Times New Roman" w:cs="Times New Roman" w:ascii="Times New Roman" w:hAnsi="Times New Roman"/>
          <w:i/>
          <w:iCs/>
        </w:rPr>
        <w:t>два, три, четыре</w:t>
      </w:r>
      <w:r>
        <w:rPr>
          <w:rFonts w:eastAsia="Times New Roman" w:cs="Times New Roman" w:ascii="Times New Roman" w:hAnsi="Times New Roman"/>
        </w:rPr>
        <w:t xml:space="preserve"> (или составные числительные, оканчивающиеся на</w:t>
      </w:r>
      <w:r>
        <w:rPr>
          <w:rFonts w:eastAsia="Times New Roman" w:cs="Times New Roman" w:ascii="Times New Roman" w:hAnsi="Times New Roman"/>
          <w:i/>
          <w:iCs/>
        </w:rPr>
        <w:t xml:space="preserve"> два, три, четыре</w:t>
      </w:r>
      <w:r>
        <w:rPr>
          <w:rFonts w:eastAsia="Times New Roman" w:cs="Times New Roman" w:ascii="Times New Roman" w:hAnsi="Times New Roman"/>
        </w:rPr>
        <w:t>):</w:t>
      </w:r>
      <w:r>
        <w:rPr>
          <w:rFonts w:eastAsia="Times New Roman" w:cs="Times New Roman" w:ascii="Times New Roman" w:hAnsi="Times New Roman"/>
          <w:i/>
          <w:iCs/>
        </w:rPr>
        <w:t xml:space="preserve"> Три пьесы молодого драматурга уже идут в московских театрах» </w:t>
      </w:r>
      <w:r>
        <w:rPr>
          <w:rFonts w:eastAsia="Times New Roman" w:cs="Times New Roman" w:ascii="Times New Roman" w:hAnsi="Times New Roman"/>
        </w:rPr>
        <w:t xml:space="preserve">[Книга о Грамматике: 41 - 42]. </w:t>
      </w:r>
    </w:p>
    <w:p>
      <w:pPr>
        <w:pStyle w:val="LOnormal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</w:rPr>
        <w:t xml:space="preserve">Проведенный нами анализ примером из НКРЯ показал, что правило, касающееся числительного </w:t>
      </w:r>
      <w:r>
        <w:rPr>
          <w:rFonts w:eastAsia="Times New Roman" w:cs="Times New Roman" w:ascii="Times New Roman" w:hAnsi="Times New Roman"/>
          <w:i/>
          <w:iCs/>
        </w:rPr>
        <w:t>один</w:t>
      </w:r>
      <w:r>
        <w:rPr>
          <w:rFonts w:eastAsia="Times New Roman" w:cs="Times New Roman" w:ascii="Times New Roman" w:hAnsi="Times New Roman"/>
        </w:rPr>
        <w:t xml:space="preserve"> и составных числительных, оканчивающихся на </w:t>
      </w:r>
      <w:r>
        <w:rPr>
          <w:rFonts w:eastAsia="Times New Roman" w:cs="Times New Roman" w:ascii="Times New Roman" w:hAnsi="Times New Roman"/>
          <w:i/>
          <w:iCs/>
        </w:rPr>
        <w:t>один</w:t>
      </w:r>
      <w:r>
        <w:rPr>
          <w:rFonts w:eastAsia="Times New Roman" w:cs="Times New Roman" w:ascii="Times New Roman" w:hAnsi="Times New Roman"/>
        </w:rPr>
        <w:t xml:space="preserve">, соблюдается практически всегда. В абсолютном большинстве случаев сказуемое ставится в ед. ч.: </w:t>
      </w:r>
      <w:r>
        <w:rPr>
          <w:rFonts w:eastAsia="Times New Roman" w:cs="Times New Roman" w:ascii="Times New Roman" w:hAnsi="Times New Roman"/>
          <w:i/>
          <w:iCs/>
        </w:rPr>
        <w:t>Н</w:t>
      </w:r>
      <w:r>
        <w:rPr>
          <w:rFonts w:eastAsia="Times New Roman" w:cs="Times New Roman" w:ascii="Times New Roman" w:hAnsi="Times New Roman"/>
          <w:i/>
          <w:iCs/>
          <w:color w:val="000000"/>
        </w:rPr>
        <w:t xml:space="preserve">еожиданно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</w:rPr>
        <w:t>появилась еще одна машина</w:t>
      </w:r>
      <w:r>
        <w:rPr>
          <w:rFonts w:eastAsia="Times New Roman" w:cs="Times New Roman" w:ascii="Times New Roman" w:hAnsi="Times New Roman"/>
          <w:i/>
          <w:iCs/>
          <w:color w:val="000000"/>
        </w:rPr>
        <w:t xml:space="preserve">, на которой нападавшие и скрылись [Ляна Шарова Трассовики // «Ежедневные новости» (Владивосток), 2003.01.17]; </w:t>
      </w:r>
      <w:r>
        <w:rPr>
          <w:rFonts w:eastAsia="Times New Roman" w:cs="Times New Roman" w:ascii="Times New Roman" w:hAnsi="Times New Roman"/>
          <w:i/>
          <w:iCs/>
        </w:rPr>
        <w:t xml:space="preserve">(...) </w:t>
      </w:r>
      <w:r>
        <w:rPr>
          <w:rFonts w:eastAsia="Times New Roman" w:cs="Times New Roman" w:ascii="Times New Roman" w:hAnsi="Times New Roman"/>
          <w:i/>
          <w:iCs/>
          <w:color w:val="000000"/>
        </w:rPr>
        <w:t xml:space="preserve">в Солигаличском крае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</w:rPr>
        <w:t>проживал восемьсот двадцать один дворянин</w:t>
      </w:r>
      <w:r>
        <w:rPr>
          <w:rFonts w:eastAsia="Times New Roman" w:cs="Times New Roman" w:ascii="Times New Roman" w:hAnsi="Times New Roman"/>
          <w:i/>
          <w:iCs/>
          <w:color w:val="000000"/>
        </w:rPr>
        <w:t xml:space="preserve"> </w:t>
      </w:r>
      <w:r>
        <w:rPr>
          <w:rFonts w:eastAsia="Times New Roman" w:cs="Times New Roman" w:ascii="Times New Roman" w:hAnsi="Times New Roman"/>
          <w:color w:val="000000"/>
        </w:rPr>
        <w:t xml:space="preserve">[М. Б. Бару. Второй сон Любови Александровны // «Волга», 2015]. В случаях с составными числительными грамматика оказывается сильнее семантики множественности: согласование происходит на чисто грамматических основаниях, семантика множественности игнорируется. </w:t>
      </w:r>
      <w:r>
        <w:rPr>
          <w:rFonts w:eastAsia="Times New Roman" w:cs="Times New Roman" w:ascii="Times New Roman" w:hAnsi="Times New Roman"/>
        </w:rPr>
        <w:t>Такие предложения относятся к логико-грамматическому типу бытийных; в них сообщается о количестве участников ситуации, находящихся в данном месте. Для таких предложений характерна препозиция сказуемого по отношению к подлежащему.</w:t>
      </w:r>
    </w:p>
    <w:p>
      <w:pPr>
        <w:pStyle w:val="LOnormal"/>
        <w:spacing w:before="0" w:after="140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lang w:val="en-US"/>
        </w:rPr>
      </w:pPr>
      <w:r>
        <w:rPr>
          <w:rFonts w:eastAsia="Times New Roman" w:cs="Times New Roman" w:ascii="Times New Roman" w:hAnsi="Times New Roman"/>
        </w:rPr>
        <w:t>М. В. Всеволодова, однако, о</w:t>
      </w:r>
      <w:r>
        <w:rPr>
          <w:rFonts w:eastAsia="Times New Roman" w:cs="Times New Roman" w:ascii="Times New Roman" w:hAnsi="Times New Roman"/>
          <w:color w:val="000000"/>
        </w:rPr>
        <w:t xml:space="preserve">тмечает, что в предложениях с подлежащим — счетным оборотом, </w:t>
      </w:r>
      <w:r>
        <w:rPr>
          <w:rFonts w:eastAsia="Times New Roman" w:cs="Times New Roman" w:ascii="Times New Roman" w:hAnsi="Times New Roman"/>
        </w:rPr>
        <w:t>включающим</w:t>
      </w:r>
      <w:r>
        <w:rPr>
          <w:rFonts w:eastAsia="Times New Roman" w:cs="Times New Roman" w:ascii="Times New Roman" w:hAnsi="Times New Roman"/>
          <w:color w:val="000000"/>
        </w:rPr>
        <w:t xml:space="preserve"> в себя составное числительное, оканчивающееся на </w:t>
      </w:r>
      <w:r>
        <w:rPr>
          <w:rFonts w:eastAsia="Times New Roman" w:cs="Times New Roman" w:ascii="Times New Roman" w:hAnsi="Times New Roman"/>
          <w:i/>
          <w:iCs/>
          <w:color w:val="000000"/>
        </w:rPr>
        <w:t>один</w:t>
      </w:r>
      <w:r>
        <w:rPr>
          <w:rFonts w:eastAsia="Times New Roman" w:cs="Times New Roman" w:ascii="Times New Roman" w:hAnsi="Times New Roman"/>
          <w:color w:val="000000"/>
        </w:rPr>
        <w:t xml:space="preserve">, могут встречаться примеры употребления сказуемого во мн. ч. Здесь в конфликт вступают грамматическое правило, требующее ед. ч., и семантика множественности, требующая формы мн. ч., и </w:t>
      </w:r>
      <w:r>
        <w:rPr>
          <w:rFonts w:eastAsia="Times New Roman" w:cs="Times New Roman" w:ascii="Times New Roman" w:hAnsi="Times New Roman"/>
        </w:rPr>
        <w:t>«</w:t>
      </w:r>
      <w:r>
        <w:rPr>
          <w:rFonts w:eastAsia="Times New Roman" w:cs="Times New Roman" w:ascii="Times New Roman" w:hAnsi="Times New Roman"/>
          <w:color w:val="000000"/>
        </w:rPr>
        <w:t>иногда семантика оказывается сильнее</w:t>
      </w:r>
      <w:r>
        <w:rPr>
          <w:rFonts w:eastAsia="Times New Roman" w:cs="Times New Roman" w:ascii="Times New Roman" w:hAnsi="Times New Roman"/>
        </w:rPr>
        <w:t>» [Всеволодова: 43]</w:t>
      </w:r>
      <w:r>
        <w:rPr>
          <w:rFonts w:eastAsia="Times New Roman" w:cs="Times New Roman" w:ascii="Times New Roman" w:hAnsi="Times New Roman"/>
          <w:color w:val="000000"/>
        </w:rPr>
        <w:t xml:space="preserve">. </w:t>
      </w:r>
      <w:r>
        <w:rPr>
          <w:rFonts w:eastAsia="Times New Roman" w:cs="Times New Roman" w:ascii="Times New Roman" w:hAnsi="Times New Roman"/>
        </w:rPr>
        <w:t>Как нам</w:t>
      </w:r>
      <w:r>
        <w:rPr>
          <w:rFonts w:eastAsia="Times New Roman" w:cs="Times New Roman" w:ascii="Times New Roman" w:hAnsi="Times New Roman"/>
          <w:color w:val="EE0000"/>
        </w:rPr>
        <w:t xml:space="preserve"> </w:t>
      </w:r>
      <w:r>
        <w:rPr>
          <w:rFonts w:eastAsia="Times New Roman" w:cs="Times New Roman" w:ascii="Times New Roman" w:hAnsi="Times New Roman"/>
          <w:color w:val="000000"/>
        </w:rPr>
        <w:t xml:space="preserve">кажется, семантика множественности в таких предложениях усиливается дополнительными факторами, такими, как, например, подчеркнутая индивидуальность действующих лиц, их активность или </w:t>
      </w:r>
      <w:r>
        <w:rPr>
          <w:rFonts w:eastAsia="Times New Roman" w:cs="Times New Roman" w:ascii="Times New Roman" w:hAnsi="Times New Roman"/>
        </w:rPr>
        <w:t>постпозиция сказуемого по отношению</w:t>
      </w:r>
      <w:r>
        <w:rPr>
          <w:rFonts w:eastAsia="Times New Roman" w:cs="Times New Roman" w:ascii="Times New Roman" w:hAnsi="Times New Roman"/>
          <w:color w:val="EE0000"/>
        </w:rPr>
        <w:t xml:space="preserve"> </w:t>
      </w:r>
      <w:r>
        <w:rPr>
          <w:rFonts w:eastAsia="Times New Roman" w:cs="Times New Roman" w:ascii="Times New Roman" w:hAnsi="Times New Roman"/>
          <w:color w:val="000000"/>
        </w:rPr>
        <w:t xml:space="preserve">к подлежащему, подчеркивающая, что в предложении делается акцент не просто на количество участников ситуации, а на субъект и его действие. Нам удалось найти несколько таких примеров: </w:t>
      </w:r>
      <w:r>
        <w:rPr>
          <w:rFonts w:eastAsia="Times New Roman" w:cs="Times New Roman" w:ascii="Times New Roman" w:hAnsi="Times New Roman"/>
          <w:i/>
          <w:iCs/>
        </w:rPr>
        <w:t xml:space="preserve">(...)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</w:rPr>
        <w:t>сто двадцать один голос высказались</w:t>
      </w:r>
      <w:r>
        <w:rPr>
          <w:rFonts w:eastAsia="Times New Roman" w:cs="Times New Roman" w:ascii="Times New Roman" w:hAnsi="Times New Roman"/>
          <w:color w:val="000000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</w:rPr>
        <w:t>против второго чтения билля, за которое было только сто голосов</w:t>
      </w:r>
      <w:r>
        <w:rPr>
          <w:rFonts w:eastAsia="Times New Roman" w:cs="Times New Roman" w:ascii="Times New Roman" w:hAnsi="Times New Roman"/>
          <w:color w:val="000000"/>
        </w:rPr>
        <w:t xml:space="preserve"> [архиепископ Николай Японский (Касаткин). Дневник (1900)]; </w:t>
      </w:r>
      <w:r>
        <w:rPr>
          <w:rFonts w:eastAsia="Times New Roman" w:cs="Times New Roman" w:ascii="Times New Roman" w:hAnsi="Times New Roman"/>
          <w:i/>
          <w:iCs/>
          <w:color w:val="000000"/>
        </w:rPr>
        <w:t xml:space="preserve">А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</w:rPr>
        <w:t>двадцать один человек ухитрились</w:t>
      </w:r>
      <w:r>
        <w:rPr>
          <w:rFonts w:eastAsia="Times New Roman" w:cs="Times New Roman" w:ascii="Times New Roman" w:hAnsi="Times New Roman"/>
          <w:color w:val="000000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</w:rPr>
        <w:t xml:space="preserve">отправить свою «корреспонденцию» вовсе в пустых конвертах  </w:t>
      </w:r>
      <w:r>
        <w:rPr>
          <w:rFonts w:eastAsia="Times New Roman" w:cs="Times New Roman" w:ascii="Times New Roman" w:hAnsi="Times New Roman"/>
          <w:color w:val="000000"/>
        </w:rPr>
        <w:t>[Рассеянность петербуржцев (05.02.1909) // «Петербургская газета», 1909].</w:t>
      </w:r>
    </w:p>
    <w:p>
      <w:pPr>
        <w:pStyle w:val="LOnormal"/>
        <w:spacing w:before="0" w:after="140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</w:rPr>
        <w:t xml:space="preserve">Как показал наш анализ, правила, касающиеся числительных </w:t>
      </w:r>
      <w:r>
        <w:rPr>
          <w:rFonts w:eastAsia="Times New Roman" w:cs="Times New Roman" w:ascii="Times New Roman" w:hAnsi="Times New Roman"/>
          <w:i/>
          <w:iCs/>
          <w:color w:val="000000"/>
        </w:rPr>
        <w:t>два</w:t>
      </w:r>
      <w:r>
        <w:rPr>
          <w:rFonts w:eastAsia="Times New Roman" w:cs="Times New Roman" w:ascii="Times New Roman" w:hAnsi="Times New Roman"/>
          <w:color w:val="000000"/>
        </w:rPr>
        <w:t xml:space="preserve">, </w:t>
      </w:r>
      <w:r>
        <w:rPr>
          <w:rFonts w:eastAsia="Times New Roman" w:cs="Times New Roman" w:ascii="Times New Roman" w:hAnsi="Times New Roman"/>
          <w:i/>
          <w:iCs/>
          <w:color w:val="000000"/>
        </w:rPr>
        <w:t>три</w:t>
      </w:r>
      <w:r>
        <w:rPr>
          <w:rFonts w:eastAsia="Times New Roman" w:cs="Times New Roman" w:ascii="Times New Roman" w:hAnsi="Times New Roman"/>
          <w:color w:val="000000"/>
        </w:rPr>
        <w:t xml:space="preserve">, </w:t>
      </w:r>
      <w:r>
        <w:rPr>
          <w:rFonts w:eastAsia="Times New Roman" w:cs="Times New Roman" w:ascii="Times New Roman" w:hAnsi="Times New Roman"/>
          <w:i/>
          <w:iCs/>
          <w:color w:val="000000"/>
        </w:rPr>
        <w:t>четыре</w:t>
      </w:r>
      <w:r>
        <w:rPr>
          <w:rFonts w:eastAsia="Times New Roman" w:cs="Times New Roman" w:ascii="Times New Roman" w:hAnsi="Times New Roman"/>
          <w:color w:val="000000"/>
        </w:rPr>
        <w:t xml:space="preserve"> и составных числительных, оканчивающихся на </w:t>
      </w:r>
      <w:r>
        <w:rPr>
          <w:rFonts w:eastAsia="Times New Roman" w:cs="Times New Roman" w:ascii="Times New Roman" w:hAnsi="Times New Roman"/>
          <w:i/>
          <w:iCs/>
          <w:color w:val="000000"/>
        </w:rPr>
        <w:t>два</w:t>
      </w:r>
      <w:r>
        <w:rPr>
          <w:rFonts w:eastAsia="Times New Roman" w:cs="Times New Roman" w:ascii="Times New Roman" w:hAnsi="Times New Roman"/>
          <w:color w:val="000000"/>
        </w:rPr>
        <w:t xml:space="preserve">, </w:t>
      </w:r>
      <w:r>
        <w:rPr>
          <w:rFonts w:eastAsia="Times New Roman" w:cs="Times New Roman" w:ascii="Times New Roman" w:hAnsi="Times New Roman"/>
          <w:i/>
          <w:iCs/>
          <w:color w:val="000000"/>
        </w:rPr>
        <w:t>три</w:t>
      </w:r>
      <w:r>
        <w:rPr>
          <w:rFonts w:eastAsia="Times New Roman" w:cs="Times New Roman" w:ascii="Times New Roman" w:hAnsi="Times New Roman"/>
          <w:color w:val="000000"/>
        </w:rPr>
        <w:t xml:space="preserve"> и </w:t>
      </w:r>
      <w:r>
        <w:rPr>
          <w:rFonts w:eastAsia="Times New Roman" w:cs="Times New Roman" w:ascii="Times New Roman" w:hAnsi="Times New Roman"/>
          <w:i/>
          <w:iCs/>
          <w:color w:val="000000"/>
        </w:rPr>
        <w:t>четыре</w:t>
      </w:r>
      <w:r>
        <w:rPr>
          <w:rFonts w:eastAsia="Times New Roman" w:cs="Times New Roman" w:ascii="Times New Roman" w:hAnsi="Times New Roman"/>
          <w:color w:val="000000"/>
        </w:rPr>
        <w:t>, соблюдаются чуть менее строго. Предложения с формой ед. ч. сказуемого зачастую относятся к бытийному типу, в них на передний план выходит количественная семантика: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i/>
          <w:iCs/>
        </w:rPr>
        <w:t xml:space="preserve">По соседству </w:t>
      </w: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случилось два пожара </w:t>
      </w:r>
      <w:r>
        <w:rPr>
          <w:rFonts w:eastAsia="Times New Roman" w:cs="Times New Roman" w:ascii="Times New Roman" w:hAnsi="Times New Roman"/>
          <w:i/>
          <w:iCs/>
        </w:rPr>
        <w:t>— один за стеной (...) , а другой — сегодня на втором этаже</w:t>
      </w:r>
      <w:r>
        <w:rPr>
          <w:rFonts w:eastAsia="Times New Roman" w:cs="Times New Roman" w:ascii="Times New Roman" w:hAnsi="Times New Roman"/>
        </w:rPr>
        <w:t xml:space="preserve"> [toyterrier. Запись LiveJournal (2004)]. </w:t>
      </w:r>
      <w:r>
        <w:rPr>
          <w:rFonts w:eastAsia="Times New Roman" w:cs="Times New Roman" w:ascii="Times New Roman" w:hAnsi="Times New Roman"/>
          <w:color w:val="000000"/>
        </w:rPr>
        <w:t xml:space="preserve">Однако в большинстве случаев сказуемое </w:t>
      </w:r>
      <w:r>
        <w:rPr>
          <w:rFonts w:eastAsia="Times New Roman" w:cs="Times New Roman" w:ascii="Times New Roman" w:hAnsi="Times New Roman"/>
        </w:rPr>
        <w:t>употребляется в форме мн.ч. При этом порядок главных членов предложения</w:t>
      </w:r>
      <w:r>
        <w:rPr>
          <w:rFonts w:eastAsia="Times New Roman" w:cs="Times New Roman" w:ascii="Times New Roman" w:hAnsi="Times New Roman"/>
          <w:color w:val="000000"/>
        </w:rPr>
        <w:t xml:space="preserve">, во многих других случаях </w:t>
      </w:r>
      <w:r>
        <w:rPr>
          <w:rFonts w:eastAsia="Times New Roman" w:cs="Times New Roman" w:ascii="Times New Roman" w:hAnsi="Times New Roman"/>
        </w:rPr>
        <w:t>являющийся</w:t>
      </w:r>
      <w:r>
        <w:rPr>
          <w:rFonts w:eastAsia="Times New Roman" w:cs="Times New Roman" w:ascii="Times New Roman" w:hAnsi="Times New Roman"/>
          <w:color w:val="000000"/>
        </w:rPr>
        <w:t xml:space="preserve"> ключевым фактором для выбора формы сказуемого, в случаях с этими числительными играет значительно менее важную роль: </w:t>
      </w:r>
      <w:r>
        <w:rPr>
          <w:rFonts w:eastAsia="Times New Roman" w:cs="Times New Roman" w:ascii="Times New Roman" w:hAnsi="Times New Roman"/>
          <w:i/>
          <w:iCs/>
          <w:color w:val="000000"/>
        </w:rPr>
        <w:t xml:space="preserve">Мой герой вполне «мог бы быть в краю отцов не из последних удальцов», но самонадеянность, лень, а пуще того весна и девушки привели к тому, что в конце года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</w:rPr>
        <w:t>две тройки нарисовались</w:t>
      </w:r>
      <w:r>
        <w:rPr>
          <w:rFonts w:eastAsia="Times New Roman" w:cs="Times New Roman" w:ascii="Times New Roman" w:hAnsi="Times New Roman"/>
          <w:color w:val="000000"/>
        </w:rPr>
        <w:t xml:space="preserve"> (...) [Наши дети: Подростки (2004)]; </w:t>
      </w:r>
      <w:r>
        <w:rPr>
          <w:rFonts w:eastAsia="Times New Roman" w:cs="Times New Roman" w:ascii="Times New Roman" w:hAnsi="Times New Roman"/>
          <w:i/>
          <w:iCs/>
          <w:color w:val="000000"/>
        </w:rPr>
        <w:t xml:space="preserve">Силы добра 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</w:rPr>
        <w:t>представляли три богатыря</w:t>
      </w:r>
      <w:r>
        <w:rPr>
          <w:rFonts w:eastAsia="Times New Roman" w:cs="Times New Roman" w:ascii="Times New Roman" w:hAnsi="Times New Roman"/>
          <w:color w:val="000000"/>
        </w:rPr>
        <w:t xml:space="preserve"> </w:t>
      </w:r>
      <w:r>
        <w:rPr>
          <w:rFonts w:eastAsia="Times New Roman" w:cs="Times New Roman" w:ascii="Times New Roman" w:hAnsi="Times New Roman"/>
          <w:i/>
          <w:iCs/>
          <w:color w:val="000000"/>
        </w:rPr>
        <w:t xml:space="preserve">во главе с Ильей Муромцем </w:t>
      </w:r>
      <w:r>
        <w:rPr>
          <w:rFonts w:eastAsia="Times New Roman" w:cs="Times New Roman" w:ascii="Times New Roman" w:hAnsi="Times New Roman"/>
          <w:color w:val="000000"/>
        </w:rPr>
        <w:t>(...) [Темные силы против Масленицы // «Народное творчество», 2004].</w:t>
      </w:r>
    </w:p>
    <w:p>
      <w:pPr>
        <w:pStyle w:val="LOnormal"/>
        <w:spacing w:before="0" w:after="140"/>
        <w:ind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</w:rPr>
        <w:t>Трудно с уверенностью</w:t>
      </w:r>
      <w:r>
        <w:rPr>
          <w:rFonts w:eastAsia="Times New Roman" w:cs="Times New Roman" w:ascii="Times New Roman" w:hAnsi="Times New Roman"/>
          <w:color w:val="EE0000"/>
        </w:rPr>
        <w:t xml:space="preserve"> </w:t>
      </w:r>
      <w:r>
        <w:rPr>
          <w:rFonts w:eastAsia="Times New Roman" w:cs="Times New Roman" w:ascii="Times New Roman" w:hAnsi="Times New Roman"/>
          <w:color w:val="000000"/>
        </w:rPr>
        <w:t>сказать, почему именно эти числительные, являясь частью подлежащего, «притягивают» форму мн. ч. сказуемого. Можно предположить, что семантика множественности в предложениях с подлежащим — счетным оборотом, включающ</w:t>
      </w:r>
      <w:r>
        <w:rPr>
          <w:rFonts w:eastAsia="Times New Roman" w:cs="Times New Roman" w:ascii="Times New Roman" w:hAnsi="Times New Roman"/>
        </w:rPr>
        <w:t>и</w:t>
      </w:r>
      <w:r>
        <w:rPr>
          <w:rFonts w:eastAsia="Times New Roman" w:cs="Times New Roman" w:ascii="Times New Roman" w:hAnsi="Times New Roman"/>
          <w:color w:val="000000"/>
        </w:rPr>
        <w:t xml:space="preserve">м числительные </w:t>
      </w:r>
      <w:r>
        <w:rPr>
          <w:rFonts w:eastAsia="Times New Roman" w:cs="Times New Roman" w:ascii="Times New Roman" w:hAnsi="Times New Roman"/>
          <w:i/>
          <w:iCs/>
          <w:color w:val="000000"/>
        </w:rPr>
        <w:t>два</w:t>
      </w:r>
      <w:r>
        <w:rPr>
          <w:rFonts w:eastAsia="Times New Roman" w:cs="Times New Roman" w:ascii="Times New Roman" w:hAnsi="Times New Roman"/>
          <w:color w:val="000000"/>
        </w:rPr>
        <w:t xml:space="preserve">, </w:t>
      </w:r>
      <w:r>
        <w:rPr>
          <w:rFonts w:eastAsia="Times New Roman" w:cs="Times New Roman" w:ascii="Times New Roman" w:hAnsi="Times New Roman"/>
          <w:i/>
          <w:iCs/>
          <w:color w:val="000000"/>
        </w:rPr>
        <w:t>три</w:t>
      </w:r>
      <w:r>
        <w:rPr>
          <w:rFonts w:eastAsia="Times New Roman" w:cs="Times New Roman" w:ascii="Times New Roman" w:hAnsi="Times New Roman"/>
          <w:color w:val="000000"/>
        </w:rPr>
        <w:t xml:space="preserve">, </w:t>
      </w:r>
      <w:r>
        <w:rPr>
          <w:rFonts w:eastAsia="Times New Roman" w:cs="Times New Roman" w:ascii="Times New Roman" w:hAnsi="Times New Roman"/>
          <w:i/>
          <w:iCs/>
          <w:color w:val="000000"/>
        </w:rPr>
        <w:t>четыре</w:t>
      </w:r>
      <w:r>
        <w:rPr>
          <w:rFonts w:eastAsia="Times New Roman" w:cs="Times New Roman" w:ascii="Times New Roman" w:hAnsi="Times New Roman"/>
          <w:color w:val="000000"/>
        </w:rPr>
        <w:t xml:space="preserve">, актуализируется потому, что они обозначают небольшую группу лиц или предметов, в которой лица и предметы воспринимаются как отдельные, </w:t>
      </w:r>
      <w:r>
        <w:rPr>
          <w:rFonts w:eastAsia="Times New Roman" w:cs="Times New Roman" w:ascii="Times New Roman" w:hAnsi="Times New Roman"/>
        </w:rPr>
        <w:t>индивидуализированные единицы</w:t>
      </w:r>
      <w:r>
        <w:rPr>
          <w:rFonts w:eastAsia="Times New Roman" w:cs="Times New Roman" w:ascii="Times New Roman" w:hAnsi="Times New Roman"/>
          <w:color w:val="000000"/>
        </w:rPr>
        <w:t>, не соединяющиеся в единую массу.</w:t>
      </w:r>
    </w:p>
    <w:p>
      <w:pPr>
        <w:pStyle w:val="LOnormal"/>
        <w:spacing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</w:rPr>
        <w:t>Таким образом, даже в рамках одной группы счетных оборотов с количественным числительным действуют разные правила согласования, что существенно усложняет выбор правильной формы сказуемого даже для носителя языка и, безусловно, представляет большую трудность для инофона.</w:t>
      </w:r>
    </w:p>
    <w:p>
      <w:pPr>
        <w:pStyle w:val="LOnormal"/>
        <w:spacing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</w:rPr>
        <w:t xml:space="preserve">Литература: </w:t>
      </w:r>
    </w:p>
    <w:p>
      <w:pPr>
        <w:pStyle w:val="LOnormal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1. Всеволодова М. В. Категория количественности в славянских языках: числительные и квантитативы // Вестник Московского университета. Серия 9: Филология. 2013. С. 16–62.</w:t>
      </w:r>
    </w:p>
    <w:p>
      <w:pPr>
        <w:pStyle w:val="LOnormal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</w:rPr>
        <w:t xml:space="preserve">2. Книга о Грамматике / Гл. ред. А. В. Величко. Спб, 2018. </w:t>
      </w:r>
    </w:p>
    <w:p>
      <w:pPr>
        <w:pStyle w:val="LOnormal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</w:rPr>
        <w:t xml:space="preserve">3. Скобликова Е. С. Согласование и управление в русском языке. М., 1971. </w:t>
      </w:r>
    </w:p>
    <w:sectPr>
      <w:type w:val="nextPage"/>
      <w:pgSz w:w="11906" w:h="16838"/>
      <w:pgMar w:left="1417" w:right="1417" w:gutter="0" w:header="0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swiss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ru-RU" w:eastAsia="zh-CN" w:bidi="hi-IN"/>
    </w:rPr>
  </w:style>
  <w:style w:type="paragraph" w:styleId="1">
    <w:name w:val="Heading 1"/>
    <w:basedOn w:val="LOnormal"/>
    <w:next w:val="LOnormal"/>
    <w:uiPriority w:val="9"/>
    <w:qFormat/>
    <w:pPr>
      <w:keepNext w:val="true"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LOnormal"/>
    <w:next w:val="LO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LOnormal"/>
    <w:next w:val="LO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LOnormal"/>
    <w:next w:val="LO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LOnormal"/>
    <w:next w:val="LO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LOnormal"/>
    <w:next w:val="LO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Символ нумерации"/>
    <w:qFormat/>
    <w:rPr/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0">
    <w:name w:val="Body Text"/>
    <w:pPr>
      <w:widowControl/>
      <w:suppressAutoHyphens w:val="tru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ru-RU" w:eastAsia="zh-CN" w:bidi="hi-IN"/>
    </w:rPr>
  </w:style>
  <w:style w:type="paragraph" w:styleId="Style11">
    <w:name w:val="List"/>
    <w:basedOn w:val="Style10"/>
    <w:pPr/>
    <w:rPr/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Lohit Devanagari"/>
    </w:rPr>
  </w:style>
  <w:style w:type="paragraph" w:styleId="Style14">
    <w:name w:val="Title"/>
    <w:basedOn w:val="LOnormal"/>
    <w:next w:val="Style10"/>
    <w:uiPriority w:val="10"/>
    <w:qFormat/>
    <w:pPr>
      <w:keepNext w:val="true"/>
      <w:spacing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Caption">
    <w:name w:val="caption"/>
    <w:qFormat/>
    <w:pPr>
      <w:widowControl/>
      <w:suppressLineNumbers/>
      <w:suppressAutoHyphens w:val="true"/>
      <w:bidi w:val="0"/>
      <w:spacing w:before="120" w:after="120"/>
      <w:jc w:val="left"/>
    </w:pPr>
    <w:rPr>
      <w:rFonts w:ascii="Liberation Serif" w:hAnsi="Liberation Serif" w:eastAsia="Liberation Serif" w:cs="Liberation Serif"/>
      <w:i/>
      <w:iCs/>
      <w:color w:val="auto"/>
      <w:kern w:val="0"/>
      <w:sz w:val="24"/>
      <w:szCs w:val="24"/>
      <w:lang w:val="ru-RU" w:eastAsia="zh-CN" w:bidi="hi-IN"/>
    </w:rPr>
  </w:style>
  <w:style w:type="paragraph" w:styleId="Indexheading">
    <w:name w:val="index heading"/>
    <w:qFormat/>
    <w:pPr>
      <w:widowControl/>
      <w:suppressLineNumbers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ru-RU" w:eastAsia="zh-CN" w:bidi="hi-IN"/>
    </w:rPr>
  </w:style>
  <w:style w:type="paragraph" w:styleId="LOnormal" w:customStyle="1">
    <w:name w:val="LO-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ru-RU" w:eastAsia="zh-CN" w:bidi="hi-IN"/>
    </w:rPr>
  </w:style>
  <w:style w:type="paragraph" w:styleId="Style15">
    <w:name w:val="Subtitle"/>
    <w:basedOn w:val="LOnormal"/>
    <w:next w:val="LO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9ZCuIwBVaWwepqyp3BDSEb4XjUg==">CgMxLjA4AHIhMVJZNjBzSzYxU20xMW1WQXBPX1F6VTFDUVRGbGlncm52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LibreOffice/7.4.6.2$Linux_X86_64 LibreOffice_project/40$Build-2</Application>
  <AppVersion>15.0000</AppVersion>
  <Pages>2</Pages>
  <Words>767</Words>
  <Characters>5199</Characters>
  <CharactersWithSpaces>5960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2026-03-01T18:23:00Z</dcterms:created>
  <dc:creator/>
  <dc:description/>
  <dc:language>ru-RU</dc:language>
  <cp:lastModifiedBy/>
  <dcterms:modified xsi:type="dcterms:W3CDTF">2026-03-02T22:15:50Z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