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эпоху постпандемийного восстановления и трансформации геополитического ландшафта культурная политика приобретает новое стратегическое измерение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выходящее за рамки традиционного понимания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Она становится важным инструментом социальной консолидации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экономического развития и укрепления международного диалога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 требует пересмотра её роли в национальных и глобальных стратегиях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[1].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Особую актуальность приобретает способность культурных инициатив интегрировать локальные традиции в общечеловеческий контекст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формируя основу для устойчивого развития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процесс сопровождается переосмыслением ценностных ориентиров в условиях меняющихся международных отношений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Ключевой вызов современной культурной политики заключается в поиске баланса между сохранением национально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культурной идентичности и необходимостью адаптации к глобальным процессам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Данное противоречие порождает фрагментацию инициатив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снижая их эффективность и долгосрочное воздействие на общество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остро эта дилемма проявляется в странах с богатым историко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культурным наследием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где процессы глобализации воспринимаются как угроза традиционным ценностям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[2].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Преодоление этого разрыва требует разработки гибких моделей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способных гармонизировать разнонаправленные тенденции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Целью настоящего исследования выступает комплексный анализ современных тенденций формирования культурной политики в европейском и азиатском контекстах с последующей разработкой адаптационных механизмов для национальных стратегий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её достижения поставлены задачи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изучить эволюцию подходов за последнее пятилетие через призму официальных документов и экспертных оценок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выявить системные барьеры реализации на примере конкретных кейсов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сформулировать практические рекомендации с учётом региональной специфики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Методологическая основа сочетает сравнительный анализ 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case-study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подход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Практическая ценность исследования проявляется в предложении моделей интеграции международного опыта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адаптированных к различным социокультурным контекстам для достижения долгосрочного воздействия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Результаты могут быть использованы при формировании стратегических документов в сфере культуры и межгосударственного сотрудничества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Работа вносит вклад в дискуссию о роли культуры как катализатора устойчивого развития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отмечают исследователи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«возрастает риск тиражирования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проектов без учета социокультурного контекста с целью наращивания количественного охвата и вне ориентации на социальные эффекты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атомизации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создания локальных проектов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встроенных в вектор социокультурного развития в целом</w:t>
      </w:r>
      <w:r>
        <w:rPr>
          <w:rFonts w:ascii="Times New Roman" w:hAnsi="Times New Roman"/>
          <w:sz w:val="28"/>
          <w:szCs w:val="28"/>
          <w:rtl w:val="0"/>
        </w:rPr>
        <w:t>)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Стихийное развитие культурных проектов без долгосрочного стратегического планирования ограничивает их потенциальное социокультурное воздействие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Многие инициативы носят точечный характер и не предусматривают механизмов масштабирования или интеграции в более широкие программы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приводит к созданию «закрытых» проектов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содержащих «интенцию к дальнейшему развитию»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[3].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результате краткосрочные эффекты не трансформируются в устойчивые социальные изменения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</w:rPr>
        <w:t xml:space="preserve">«Согласно Указу Президента РФ от </w:t>
      </w:r>
      <w:r>
        <w:rPr>
          <w:rFonts w:ascii="Times New Roman" w:hAnsi="Times New Roman"/>
          <w:sz w:val="28"/>
          <w:szCs w:val="28"/>
          <w:rtl w:val="0"/>
        </w:rPr>
        <w:t xml:space="preserve">22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апреля </w:t>
      </w:r>
      <w:r>
        <w:rPr>
          <w:rFonts w:ascii="Times New Roman" w:hAnsi="Times New Roman"/>
          <w:sz w:val="28"/>
          <w:szCs w:val="28"/>
          <w:rtl w:val="0"/>
        </w:rPr>
        <w:t xml:space="preserve">2013 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№ </w:t>
      </w:r>
      <w:r>
        <w:rPr>
          <w:rFonts w:ascii="Times New Roman" w:hAnsi="Times New Roman"/>
          <w:sz w:val="28"/>
          <w:szCs w:val="28"/>
          <w:rtl w:val="0"/>
        </w:rPr>
        <w:t xml:space="preserve">375,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выбор региональных стратегий возможен исходя из двух ведущих тенденций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усложнение и дифференциация культуры как сферы самореализации человека и преодоление диспропорций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растущего разрыва между смелыми инновациями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культурными ориентирами и состоянием духовно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нравственных потребностей в разных слоях российского общества </w:t>
      </w:r>
      <w:r>
        <w:rPr>
          <w:rFonts w:ascii="Times New Roman" w:hAnsi="Times New Roman"/>
          <w:sz w:val="28"/>
          <w:szCs w:val="28"/>
          <w:rtl w:val="0"/>
          <w:lang w:val="pt-PT"/>
        </w:rPr>
        <w:t>[4]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Перспективные модели межрегионального взаимодействия предполагают создание сетевых структур для синхронизации культурных стратегий в полиэтничных пространствах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«Нормативные требования международных организаций часто вступают в противоречие с национальными культурными приоритетами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усложняя формирование единой политики </w:t>
      </w:r>
      <w:r>
        <w:rPr>
          <w:rFonts w:ascii="Times New Roman" w:hAnsi="Times New Roman"/>
          <w:sz w:val="28"/>
          <w:szCs w:val="28"/>
          <w:rtl w:val="0"/>
          <w:lang w:val="pt-PT"/>
        </w:rPr>
        <w:t>[5]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кластерных инициатив и межрегиональных культурных обменов способствует преодолению территориальной разобщенности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Координация через федеральные целевые программы позволяет гармонизировать интересы различных этнокультурных групп при сохранении их идентичности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Такие модели создают основу для формирования единого культурного пространства с учетом регионального многообразия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Список литературы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Боголюбова 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Николаева 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Выработка определения внешней культурной политики в современном научном дискурсе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философские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политические и юридические науки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культурология и искусствоведение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Вопросы теории и практики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2012.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№</w:t>
      </w: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С</w:t>
      </w:r>
      <w:r>
        <w:rPr>
          <w:rFonts w:ascii="Times New Roman" w:hAnsi="Times New Roman"/>
          <w:sz w:val="28"/>
          <w:szCs w:val="28"/>
          <w:rtl w:val="0"/>
        </w:rPr>
        <w:t>. 25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27.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Боголюбова 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Николаева 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вопросу о культурных связях в современной социокультурной ситуации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</w:rPr>
        <w:t>Вестник СПбГУКИ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2011.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С</w:t>
      </w:r>
      <w:r>
        <w:rPr>
          <w:rFonts w:ascii="Times New Roman" w:hAnsi="Times New Roman"/>
          <w:sz w:val="28"/>
          <w:szCs w:val="28"/>
          <w:rtl w:val="0"/>
        </w:rPr>
        <w:t>. 181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185.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Гетманенко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вопросу масштабирования в социокультурном проектировании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Мир науки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Социология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филология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культурология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2024.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№</w:t>
      </w: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С</w:t>
      </w:r>
      <w:r>
        <w:rPr>
          <w:rFonts w:ascii="Times New Roman" w:hAnsi="Times New Roman"/>
          <w:sz w:val="28"/>
          <w:szCs w:val="28"/>
          <w:rtl w:val="0"/>
        </w:rPr>
        <w:t>. 1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5.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Захарова 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Н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</w:rPr>
        <w:t>Балина 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Ф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Региональная идентичность в контексте культурной политики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и цивилизация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2020.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№</w:t>
      </w: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С</w:t>
      </w:r>
      <w:r>
        <w:rPr>
          <w:rFonts w:ascii="Times New Roman" w:hAnsi="Times New Roman"/>
          <w:sz w:val="28"/>
          <w:szCs w:val="28"/>
          <w:rtl w:val="0"/>
          <w:lang w:val="ru-RU"/>
        </w:rPr>
        <w:t>. 57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 xml:space="preserve">63. </w:t>
      </w:r>
    </w:p>
    <w:p>
      <w:pPr>
        <w:pStyle w:val="Основной текст"/>
        <w:jc w:val="both"/>
      </w:pPr>
      <w:r>
        <w:rPr>
          <w:rFonts w:ascii="Times New Roman" w:hAnsi="Times New Roman" w:hint="default"/>
          <w:sz w:val="28"/>
          <w:szCs w:val="28"/>
          <w:rtl w:val="0"/>
        </w:rPr>
        <w:t>Марзоева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Культурная политика в условиях неопределенности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междисциплинарные открытия и вызовы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и цивилизация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2024.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№</w:t>
      </w:r>
      <w:r>
        <w:rPr>
          <w:rFonts w:ascii="Times New Roman" w:hAnsi="Times New Roman"/>
          <w:sz w:val="28"/>
          <w:szCs w:val="28"/>
          <w:rtl w:val="0"/>
        </w:rPr>
        <w:t xml:space="preserve">14.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С</w:t>
      </w:r>
      <w:r>
        <w:rPr>
          <w:rFonts w:ascii="Times New Roman" w:hAnsi="Times New Roman"/>
          <w:sz w:val="28"/>
          <w:szCs w:val="28"/>
          <w:rtl w:val="0"/>
        </w:rPr>
        <w:t>. 97</w:t>
      </w:r>
      <w:r>
        <w:rPr>
          <w:rFonts w:ascii="Times New Roman" w:hAnsi="Times New Roman"/>
          <w:sz w:val="28"/>
          <w:szCs w:val="28"/>
          <w:rtl w:val="0"/>
          <w:lang w:val="ru-RU"/>
        </w:rPr>
        <w:t>-110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