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9165A">
      <w:pPr>
        <w:pStyle w:val="3"/>
        <w:spacing w:before="91"/>
        <w:ind w:left="0" w:leftChars="0" w:firstLine="0" w:firstLineChars="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w w:val="105"/>
        </w:rPr>
        <w:t>Секция</w:t>
      </w:r>
      <w:r>
        <w:rPr>
          <w:rFonts w:hint="default" w:ascii="Times New Roman" w:hAnsi="Times New Roman" w:cs="Times New Roman"/>
          <w:spacing w:val="-2"/>
          <w:w w:val="105"/>
        </w:rPr>
        <w:t>«</w:t>
      </w:r>
      <w:r>
        <w:rPr>
          <w:rFonts w:hint="default" w:ascii="Times New Roman" w:hAnsi="Times New Roman" w:eastAsia="宋体" w:cs="Times New Roman"/>
          <w:spacing w:val="-2"/>
          <w:w w:val="105"/>
          <w:lang w:val="en-US" w:eastAsia="zh-CN"/>
        </w:rPr>
        <w:t>18.1 Культурная политика: современные модели и региональные особенности</w:t>
      </w:r>
      <w:r>
        <w:rPr>
          <w:rFonts w:hint="default" w:ascii="Times New Roman" w:hAnsi="Times New Roman" w:cs="Times New Roman"/>
          <w:spacing w:val="-2"/>
          <w:w w:val="105"/>
        </w:rPr>
        <w:t>»</w:t>
      </w:r>
    </w:p>
    <w:p w14:paraId="66CE811E">
      <w:pPr>
        <w:pStyle w:val="2"/>
        <w:spacing w:line="510" w:lineRule="atLeast"/>
        <w:ind w:left="845" w:right="847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Понятие и значение культуры в эффективном управлении</w:t>
      </w:r>
    </w:p>
    <w:p w14:paraId="1DC752B0">
      <w:pPr>
        <w:pStyle w:val="2"/>
        <w:spacing w:line="500" w:lineRule="atLeast"/>
        <w:ind w:left="1115" w:right="1114" w:firstLine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w w:val="105"/>
        </w:rPr>
        <w:t xml:space="preserve"> Научный</w:t>
      </w:r>
      <w:r>
        <w:rPr>
          <w:rFonts w:hint="default" w:ascii="Times New Roman" w:hAnsi="Times New Roman" w:cs="Times New Roman"/>
          <w:spacing w:val="-1"/>
          <w:w w:val="105"/>
        </w:rPr>
        <w:t xml:space="preserve"> </w:t>
      </w:r>
      <w:r>
        <w:rPr>
          <w:rFonts w:hint="default" w:ascii="Times New Roman" w:hAnsi="Times New Roman" w:cs="Times New Roman"/>
          <w:w w:val="105"/>
        </w:rPr>
        <w:t>руководитель</w:t>
      </w:r>
      <w:r>
        <w:rPr>
          <w:rFonts w:hint="default" w:ascii="Times New Roman" w:hAnsi="Times New Roman" w:cs="Times New Roman"/>
          <w:spacing w:val="2"/>
          <w:w w:val="105"/>
        </w:rPr>
        <w:t xml:space="preserve"> </w:t>
      </w:r>
      <w:r>
        <w:rPr>
          <w:rFonts w:hint="default" w:ascii="Times New Roman" w:hAnsi="Times New Roman" w:cs="Times New Roman"/>
          <w:w w:val="105"/>
        </w:rPr>
        <w:t>–</w:t>
      </w:r>
      <w:r>
        <w:rPr>
          <w:rFonts w:hint="default" w:ascii="Times New Roman" w:hAnsi="Times New Roman" w:cs="Times New Roman"/>
          <w:spacing w:val="3"/>
          <w:w w:val="105"/>
        </w:rPr>
        <w:t xml:space="preserve"> </w:t>
      </w:r>
      <w:r>
        <w:rPr>
          <w:rFonts w:hint="default" w:ascii="Times New Roman" w:hAnsi="Times New Roman" w:cs="Times New Roman"/>
          <w:w w:val="105"/>
        </w:rPr>
        <w:t>Добросклонская</w:t>
      </w:r>
      <w:r>
        <w:rPr>
          <w:rFonts w:hint="default" w:ascii="Times New Roman" w:hAnsi="Times New Roman" w:cs="Times New Roman"/>
          <w:spacing w:val="2"/>
          <w:w w:val="105"/>
        </w:rPr>
        <w:t xml:space="preserve"> </w:t>
      </w:r>
      <w:r>
        <w:rPr>
          <w:rFonts w:hint="default" w:ascii="Times New Roman" w:hAnsi="Times New Roman" w:cs="Times New Roman"/>
          <w:w w:val="105"/>
        </w:rPr>
        <w:t>Татьяна</w:t>
      </w:r>
      <w:r>
        <w:rPr>
          <w:rFonts w:hint="default" w:ascii="Times New Roman" w:hAnsi="Times New Roman" w:cs="Times New Roman"/>
          <w:spacing w:val="2"/>
          <w:w w:val="105"/>
        </w:rPr>
        <w:t xml:space="preserve"> </w:t>
      </w:r>
      <w:r>
        <w:rPr>
          <w:rFonts w:hint="default" w:ascii="Times New Roman" w:hAnsi="Times New Roman" w:cs="Times New Roman"/>
          <w:w w:val="105"/>
        </w:rPr>
        <w:t>Георгиенва</w:t>
      </w:r>
    </w:p>
    <w:p w14:paraId="27B7B407">
      <w:pPr>
        <w:spacing w:before="127" w:line="269" w:lineRule="exact"/>
        <w:ind w:left="19" w:right="36" w:firstLine="0"/>
        <w:jc w:val="center"/>
        <w:rPr>
          <w:rFonts w:hint="default" w:ascii="Times New Roman" w:hAnsi="Times New Roman" w:cs="Times New Roman"/>
          <w:b/>
          <w:i/>
          <w:sz w:val="24"/>
        </w:rPr>
      </w:pPr>
      <w:r>
        <w:rPr>
          <w:rFonts w:hint="default" w:ascii="Times New Roman" w:hAnsi="Times New Roman" w:cs="Times New Roman"/>
          <w:b/>
          <w:i/>
          <w:w w:val="105"/>
          <w:sz w:val="24"/>
        </w:rPr>
        <w:t>Пан</w:t>
      </w:r>
      <w:r>
        <w:rPr>
          <w:rFonts w:hint="default" w:ascii="Times New Roman" w:hAnsi="Times New Roman" w:cs="Times New Roman"/>
          <w:b/>
          <w:i/>
          <w:spacing w:val="44"/>
          <w:w w:val="105"/>
          <w:sz w:val="24"/>
        </w:rPr>
        <w:t xml:space="preserve"> </w:t>
      </w:r>
      <w:r>
        <w:rPr>
          <w:rFonts w:hint="default" w:ascii="Times New Roman" w:hAnsi="Times New Roman" w:cs="Times New Roman"/>
          <w:b/>
          <w:i/>
          <w:spacing w:val="-2"/>
          <w:w w:val="105"/>
          <w:sz w:val="24"/>
        </w:rPr>
        <w:t>Шувэнь</w:t>
      </w:r>
    </w:p>
    <w:p w14:paraId="786205D8">
      <w:pPr>
        <w:spacing w:before="0" w:line="313" w:lineRule="exact"/>
        <w:ind w:left="19" w:right="36" w:firstLine="0"/>
        <w:jc w:val="center"/>
        <w:rPr>
          <w:rFonts w:hint="default" w:ascii="Times New Roman" w:hAnsi="Times New Roman" w:cs="Times New Roman"/>
          <w:i/>
          <w:sz w:val="24"/>
        </w:rPr>
      </w:pPr>
      <w:r>
        <w:rPr>
          <w:rFonts w:hint="default" w:ascii="Times New Roman" w:hAnsi="Times New Roman" w:cs="Times New Roman"/>
          <w:i/>
          <w:spacing w:val="-2"/>
          <w:sz w:val="24"/>
        </w:rPr>
        <w:t>Аспирант</w:t>
      </w:r>
    </w:p>
    <w:p w14:paraId="0568A114">
      <w:pPr>
        <w:pStyle w:val="3"/>
        <w:spacing w:line="252" w:lineRule="auto"/>
        <w:ind w:left="0" w:firstLine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  <w:w w:val="105"/>
        </w:rPr>
        <w:t xml:space="preserve">Московский государственный университет имени М.В.Ломоносова, Высшая школа </w:t>
      </w:r>
      <w:r>
        <w:rPr>
          <w:rFonts w:hint="default" w:ascii="Times New Roman" w:hAnsi="Times New Roman" w:cs="Times New Roman"/>
          <w:w w:val="105"/>
        </w:rPr>
        <w:t>культурной политики и управления в гуманитарной сфере, Москва, Россия</w:t>
      </w:r>
    </w:p>
    <w:p w14:paraId="29FF06E6">
      <w:pPr>
        <w:spacing w:before="0" w:line="294" w:lineRule="exact"/>
        <w:ind w:left="0" w:right="36" w:firstLine="0"/>
        <w:jc w:val="center"/>
        <w:rPr>
          <w:rFonts w:hint="default" w:ascii="Times New Roman" w:hAnsi="Times New Roman" w:cs="Times New Roman"/>
          <w:i/>
          <w:sz w:val="24"/>
        </w:rPr>
      </w:pPr>
      <w:r>
        <w:rPr>
          <w:rFonts w:hint="default" w:ascii="Times New Roman" w:hAnsi="Times New Roman" w:cs="Times New Roman"/>
          <w:i/>
          <w:w w:val="105"/>
          <w:sz w:val="24"/>
        </w:rPr>
        <w:t>E-mail:</w:t>
      </w:r>
      <w:r>
        <w:rPr>
          <w:rFonts w:hint="default" w:ascii="Times New Roman" w:hAnsi="Times New Roman" w:cs="Times New Roman"/>
          <w:i/>
          <w:spacing w:val="16"/>
          <w:w w:val="105"/>
          <w:sz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GB"/>
        </w:rPr>
        <w:t>kellykeepgo@163.com</w:t>
      </w:r>
    </w:p>
    <w:p w14:paraId="5842BBD0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</w:p>
    <w:p w14:paraId="16A2112B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На сегодня культура управления имеет особую актуальность. Культура управления является неотъемлемой частью менеджмента в любой сфере деятельности.</w:t>
      </w:r>
    </w:p>
    <w:p w14:paraId="741F0B37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 xml:space="preserve">Существует множество определений понятия «культура управления», которые в своих работах рассматривали многие авторы, такие как Л.В. Ладатко [9], Г.Ф. Кунгурцева [8], В.Н. Шевелев [10]. Обобщая их определения, культура управления – это совокупность норм, традиций, ценностей и моделей поведения и стиля взаимодействия в той или иной организации, которые определяют подход к процессу управления. </w:t>
      </w:r>
    </w:p>
    <w:p w14:paraId="11B67A8C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Установление культуры управления находится также в зависимости от условий общественного развития, структуры общества, связей и отношений в нем, развития духовности и культурных основ, традиций, знаний, стремлений и мировоззрения.</w:t>
      </w:r>
    </w:p>
    <w:p w14:paraId="1C2B2066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Основное место в культуре управления принадлежит руководителю. Он на основе своих качеств выстраивает основополагающие настройки культуры управления организации.</w:t>
      </w:r>
    </w:p>
    <w:p w14:paraId="7099FA36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Руководитель – это ответственное лицо, которое совершает целенаправленные действия по организации действий людей, направленные на достижение конечной цели организации. Руководитель в организации выполняет четыре главные роли:</w:t>
      </w:r>
    </w:p>
    <w:p w14:paraId="34E2DE93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1) Роль лидера. Руководитель должен влиять на подчиненных своим авторитетом, чтобы сотрудники в своей работе руководствовались не только своими должностными обязанностями, правилами организации и др., но и оптимизировать эффективность их работы посредством лидерства, что повышает отдачу работников организации [1].</w:t>
      </w:r>
    </w:p>
    <w:p w14:paraId="609A47E7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2) Роль администратора. Все действия руководителя администратора должны осуществляться с соблюдением всех административно-правовых норм.</w:t>
      </w:r>
    </w:p>
    <w:p w14:paraId="7956AF56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3) Роль предпринимателя. Руководитель при исполнении своих обязанностей должен быть готов к тому, что в процессе работы постоянно придется принимать нестандартные решения, оценивать сопутствующие риски и брать на себя полную ответственность за собственную деятельность.</w:t>
      </w:r>
    </w:p>
    <w:p w14:paraId="7406D628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4) Роль стратега. Руководитель должен быть грамотным стратегом для того, чтобы рассматривать различные управленческие альтернативы и выбирать наиболее оптимальные, учитывая долгосрочные риски и возможности [5].</w:t>
      </w:r>
    </w:p>
    <w:p w14:paraId="560A66DE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Факторы, осуществляющие регулирующее влияние культуры управления, оказывают воздействие на становление культуры управления организации. Культура управления руководителя характеризует его уровень достижений в данной сфере [2]. Она предполагает базовые условия функционирования организации. Правильно выстроенная управленческая культура руководителя является предпосылкой успешности организации и ее долгосрочного развития. Именно поэтому внутренние настройки управления нуждаются в изменениях и актуализации, что возможно при развитии навыков и умений управленческой деятельности руководителя. Руководителю требуется иметь в своем арсенале управления основы профессиональной культуры, слагаемыми которой являются профессиональная и социальная компетентность. Постижение базовых основ культуры управления означает целенаправленность в выстраивании культуры первоочередно на социальных и культурных настройках.</w:t>
      </w:r>
    </w:p>
    <w:p w14:paraId="1E71FB88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Ценности и нормы культуры управления представляются как духовная часть развития. Духовность в управлении является необходимой и важной. В современных условиях развития достижения успеха в управлении требует использования в работе духовной составляющей, этики, которые будут согласованы с целями развития организации. Коллектив, который выстраивает свою трудовую деятельность на основе высоких стандартов, имеет к своей работе более высокие требования, чем имеются у руководства.</w:t>
      </w:r>
    </w:p>
    <w:p w14:paraId="4406EEE0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Культура управления в своей основе представляется как сложная система, которая строится в согласовании с культурой развития общества и является ее связующим звеном. Культура управления выстраивается в целостную структуру регулирования, которая реализует управленческие действия с отсылкой на ценности, традиции, нормы, нравственность и др. [3].</w:t>
      </w:r>
    </w:p>
    <w:p w14:paraId="3C019A46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Система управления персоналом как комплекс взаимосвязанных процессов, принципов, методов и инструментов, направленных на эффективное использование человеческого ресурса в организации для достижения ее стратегических целей [4], охватывает все этапы взаимодействия с персоналом, которые включают в себя планирование и подбор персонала, обучение и развитие, оценку и мотивацию, компенсации и льготы, управление конфликтами и дисциплину, безопасность и охрану труда, а также формирование корпоративной культуры. Эффективная СУП обеспечивает повышение производительности труда, снижение текучести кадров, увеличение лояльности сотрудников и улучшение имиджа компании. В современном мире СУП претерпевает значительные изменения, фокусируясь на развитии персонала, внедрении гибких условий труда и использовании технологий для автоматизации процессов. Правильно выстроенная система управления персоналом позволяет максимально использовать потенциал сотрудников и способствует достижению долгосрочного успеха организации. Эффективная организация менеджмента как основа успешного функционирования любой организации, независимо от ее масштаба и сферы деятельности [6], предполагает четкое определение целей и задач, создание системы планирования и контроля, делегирование полномочий и ответственности, мотивацию сотрудников, эффективную коммуникацию и постоянное совершенствование процессов [7].</w:t>
      </w:r>
    </w:p>
    <w:p w14:paraId="144A6686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Эффективный менеджмент способствует повышению производительности труда, улучшению качества продукции или услуг, снижению издержек, увеличению прибыли и укреплению позиций организации на рынке.</w:t>
      </w:r>
    </w:p>
    <w:p w14:paraId="46284321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Таким образом, внесение культуры управления в деятельность организации создает возможность:</w:t>
      </w:r>
    </w:p>
    <w:p w14:paraId="61212ACF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– на качественно новый уровень поставить управление организацией;</w:t>
      </w:r>
    </w:p>
    <w:p w14:paraId="71EE39C7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– сделать более облегченными управленческие функции;</w:t>
      </w:r>
    </w:p>
    <w:p w14:paraId="0833150B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</w:rPr>
      </w:pPr>
      <w:r>
        <w:rPr>
          <w:rFonts w:hint="default" w:ascii="Times New Roman" w:hAnsi="Times New Roman" w:cs="Times New Roman"/>
          <w:w w:val="105"/>
        </w:rPr>
        <w:t>– преобразовать условия труда управляющих в лучшую сторону;</w:t>
      </w:r>
    </w:p>
    <w:p w14:paraId="65A413F6">
      <w:pPr>
        <w:pStyle w:val="3"/>
        <w:spacing w:line="252" w:lineRule="auto"/>
        <w:ind w:right="139"/>
        <w:rPr>
          <w:rFonts w:hint="default" w:ascii="Times New Roman" w:hAnsi="Times New Roman" w:cs="Times New Roman"/>
          <w:w w:val="105"/>
          <w:lang w:val="ru-RU"/>
        </w:rPr>
      </w:pPr>
      <w:r>
        <w:rPr>
          <w:rFonts w:hint="default" w:ascii="Times New Roman" w:hAnsi="Times New Roman" w:cs="Times New Roman"/>
          <w:w w:val="105"/>
        </w:rPr>
        <w:t>– организовать сплоченность и согласованность работы управляющего звена.</w:t>
      </w:r>
    </w:p>
    <w:p w14:paraId="7FF77CF0">
      <w:pPr>
        <w:pStyle w:val="3"/>
        <w:spacing w:before="13" w:line="240" w:lineRule="auto"/>
        <w:ind w:left="0" w:leftChars="0" w:firstLine="0" w:firstLineChars="0"/>
        <w:jc w:val="left"/>
        <w:rPr>
          <w:rFonts w:hint="default" w:ascii="Times New Roman" w:hAnsi="Times New Roman" w:cs="Times New Roman"/>
          <w:spacing w:val="-2"/>
        </w:rPr>
      </w:pPr>
    </w:p>
    <w:p w14:paraId="666EC6A6">
      <w:pPr>
        <w:pStyle w:val="3"/>
        <w:spacing w:line="240" w:lineRule="auto"/>
        <w:ind w:left="0" w:leftChars="0" w:right="137" w:firstLine="0" w:firstLineChars="0"/>
        <w:jc w:val="center"/>
        <w:rPr>
          <w:rFonts w:hint="default" w:ascii="Times New Roman" w:hAnsi="Times New Roman" w:cs="Times New Roman"/>
          <w:b/>
          <w:bCs/>
          <w:spacing w:val="-2"/>
          <w:w w:val="105"/>
        </w:rPr>
      </w:pPr>
      <w:r>
        <w:rPr>
          <w:rFonts w:hint="default" w:ascii="Times New Roman" w:hAnsi="Times New Roman" w:cs="Times New Roman"/>
          <w:b/>
          <w:bCs/>
          <w:spacing w:val="-2"/>
          <w:w w:val="105"/>
        </w:rPr>
        <w:t>Источники и литература</w:t>
      </w:r>
    </w:p>
    <w:p w14:paraId="2C16DC48">
      <w:pPr>
        <w:pStyle w:val="3"/>
        <w:spacing w:line="240" w:lineRule="auto"/>
        <w:ind w:left="0" w:leftChars="0" w:right="137" w:firstLine="0" w:firstLineChars="0"/>
        <w:jc w:val="center"/>
        <w:rPr>
          <w:rFonts w:hint="default" w:ascii="Times New Roman" w:hAnsi="Times New Roman" w:cs="Times New Roman"/>
          <w:b/>
          <w:bCs/>
          <w:spacing w:val="-2"/>
          <w:w w:val="105"/>
        </w:rPr>
      </w:pPr>
      <w:bookmarkStart w:id="0" w:name="_GoBack"/>
      <w:bookmarkEnd w:id="0"/>
    </w:p>
    <w:p w14:paraId="758C8A59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Абчук, В.А. Менеджмент в сфере культуры / В.А. Абчук. – СПб.: СПб ГУКИ, 2020. – 447 с.</w:t>
      </w:r>
    </w:p>
    <w:p w14:paraId="2A360D49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Алексеев, Ю.П. Теория управления / Ю.П. Алексеев, А.Н. Алисова, Ю.Н. Барышников. – М.: Изд-во РАГС, 2018. – 557 с.</w:t>
      </w:r>
    </w:p>
    <w:p w14:paraId="41A54AC7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Балдин, И. В. Менеджмент: учебное пособие / И. В. Балдин, Г. Е. Ясников. – Минск: БГЭУ, 2017. – 305 с.</w:t>
      </w:r>
    </w:p>
    <w:p w14:paraId="33C0FF2B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Бибикова, А.В. Вариабельность тенденций становления нового типа лидера в драматическом (театральном) коллективе / А.В. Бибикова // Мир науки, культуры и образования. – 2021. – № 3 (46). – С. 341-343.</w:t>
      </w:r>
    </w:p>
    <w:p w14:paraId="7D757930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Дуракова, И.Б. Управление персоналом в глобальном мире / И. Б. Дуракова. – Воронеж: ВГУ, 2016. С. 113.</w:t>
      </w:r>
    </w:p>
    <w:p w14:paraId="0F7E2774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Князев, С.Н. Управление: искусство, наука, практика / С.Н. Князев. – Минск: Армита-Маркетинг, Менеджмент, 2022. – 511 с.</w:t>
      </w:r>
    </w:p>
    <w:p w14:paraId="4E1A2F9C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Кроль, Л.М. Управленческая культура организаций / Л.М. Кроль, Е.А. Пуртова. – М.: Независимая фирма «Класс», 2021. – 400 с.</w:t>
      </w:r>
    </w:p>
    <w:p w14:paraId="6E23E74F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Кунгурцева, Г.Ф. Культура управленческой деятельности как социологическая категория / Г.Ф. Кунгурцева // Социально-гуманитарные знания. – 2018. – № 7. – С. 23-36.</w:t>
      </w:r>
    </w:p>
    <w:p w14:paraId="3CF871E2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Ладатко Л.В. Этика и культура управления. / Л.В. Ладатко - Ростов-н/Д: Феникс, 2006. С. 78.</w:t>
      </w:r>
    </w:p>
    <w:p w14:paraId="4218BEC1">
      <w:pPr>
        <w:pStyle w:val="3"/>
        <w:numPr>
          <w:ilvl w:val="0"/>
          <w:numId w:val="1"/>
        </w:numPr>
        <w:spacing w:line="240" w:lineRule="auto"/>
        <w:ind w:left="440" w:leftChars="0" w:right="137" w:firstLine="0" w:firstLineChars="0"/>
        <w:rPr>
          <w:rFonts w:hint="default" w:ascii="Times New Roman" w:hAnsi="Times New Roman" w:cs="Times New Roman"/>
          <w:spacing w:val="-2"/>
          <w:w w:val="105"/>
        </w:rPr>
      </w:pPr>
      <w:r>
        <w:rPr>
          <w:rFonts w:hint="default" w:ascii="Times New Roman" w:hAnsi="Times New Roman" w:cs="Times New Roman"/>
          <w:spacing w:val="-2"/>
          <w:w w:val="105"/>
        </w:rPr>
        <w:t>Шевелев В.Н. Социология управления. Ростов н/Дону, 2020. С. 298.</w:t>
      </w:r>
    </w:p>
    <w:p w14:paraId="0D9ACF26">
      <w:pPr>
        <w:pStyle w:val="3"/>
        <w:spacing w:before="13" w:line="240" w:lineRule="auto"/>
        <w:ind w:left="0" w:leftChars="0" w:firstLine="0" w:firstLineChars="0"/>
        <w:jc w:val="left"/>
        <w:rPr>
          <w:rFonts w:hint="default" w:ascii="Times New Roman" w:hAnsi="Times New Roman" w:cs="Times New Roman"/>
          <w:spacing w:val="-2"/>
        </w:rPr>
      </w:pPr>
    </w:p>
    <w:p w14:paraId="6A2CB6D6">
      <w:pPr>
        <w:pStyle w:val="3"/>
        <w:spacing w:before="13"/>
        <w:ind w:left="727" w:firstLine="0"/>
        <w:jc w:val="left"/>
        <w:rPr>
          <w:rFonts w:hint="default" w:ascii="Times New Roman" w:hAnsi="Times New Roman" w:cs="Times New Roman"/>
          <w:spacing w:val="-2"/>
        </w:rPr>
      </w:pPr>
    </w:p>
    <w:p w14:paraId="1BA7CE2D">
      <w:pPr>
        <w:pStyle w:val="3"/>
        <w:spacing w:before="13"/>
        <w:ind w:left="727" w:firstLine="0"/>
        <w:jc w:val="left"/>
        <w:rPr>
          <w:rFonts w:hint="default" w:ascii="Times New Roman" w:hAnsi="Times New Roman" w:cs="Times New Roman"/>
          <w:spacing w:val="-2"/>
        </w:rPr>
      </w:pPr>
    </w:p>
    <w:p w14:paraId="7949521B">
      <w:pPr>
        <w:pStyle w:val="3"/>
        <w:spacing w:before="13"/>
        <w:ind w:left="0" w:leftChars="0" w:firstLine="0" w:firstLineChars="0"/>
        <w:jc w:val="left"/>
        <w:rPr>
          <w:rFonts w:hint="default" w:ascii="Times New Roman" w:hAnsi="Times New Roman" w:cs="Times New Roman"/>
          <w:spacing w:val="-2"/>
        </w:rPr>
      </w:pPr>
    </w:p>
    <w:sectPr>
      <w:headerReference r:id="rId5" w:type="default"/>
      <w:footerReference r:id="rId6" w:type="default"/>
      <w:pgSz w:w="11910" w:h="16840"/>
      <w:pgMar w:top="1040" w:right="425" w:bottom="1040" w:left="1559" w:header="375" w:footer="8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Palatino Linotype">
    <w:panose1 w:val="02040502050505030304"/>
    <w:charset w:val="01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A0DBF">
    <w:pPr>
      <w:pStyle w:val="3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7087235</wp:posOffset>
              </wp:positionH>
              <wp:positionV relativeFrom="page">
                <wp:posOffset>10015855</wp:posOffset>
              </wp:positionV>
              <wp:extent cx="163195" cy="2171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99623">
                          <w:pPr>
                            <w:pStyle w:val="3"/>
                            <w:spacing w:before="21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58.05pt;margin-top:788.65pt;height:17.1pt;width:12.85pt;mso-position-horizontal-relative:page;mso-position-vertical-relative:page;z-index:-251656192;mso-width-relative:page;mso-height-relative:page;" filled="f" stroked="f" coordsize="21600,21600" o:gfxdata="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DVUKTbAAAADwEAAA8AAAAAAAAAAQAgAAAAIgAAAGRycy9kb3ducmV2LnhtbFBLAQIUABQAAAAI&#10;AIdO4kAosGlB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399623">
                    <w:pPr>
                      <w:pStyle w:val="3"/>
                      <w:spacing w:before="21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AFE85">
    <w:pPr>
      <w:pStyle w:val="3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1120140</wp:posOffset>
              </wp:positionH>
              <wp:positionV relativeFrom="page">
                <wp:posOffset>224790</wp:posOffset>
              </wp:positionV>
              <wp:extent cx="2234565" cy="2165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456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4CE83D">
                          <w:pPr>
                            <w:spacing w:before="0" w:line="316" w:lineRule="exact"/>
                            <w:ind w:left="20" w:right="0" w:firstLine="0"/>
                            <w:jc w:val="left"/>
                            <w:rPr>
                              <w:rFonts w:ascii="Palatino Linotype" w:hAnsi="Palatino Linotype"/>
                              <w:i/>
                              <w:sz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i/>
                              <w:sz w:val="24"/>
                            </w:rPr>
                            <w:t>Конференция</w:t>
                          </w:r>
                          <w:r>
                            <w:rPr>
                              <w:rFonts w:ascii="Palatino Linotype" w:hAnsi="Palatino Linotype"/>
                              <w:i/>
                              <w:spacing w:val="74"/>
                              <w:w w:val="1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sz w:val="24"/>
                            </w:rPr>
                            <w:t>«Ломоносов-</w:t>
                          </w:r>
                          <w:r>
                            <w:rPr>
                              <w:rFonts w:ascii="Palatino Linotype" w:hAnsi="Palatino Linotype"/>
                              <w:i/>
                              <w:spacing w:val="-2"/>
                              <w:sz w:val="24"/>
                            </w:rPr>
                            <w:t>202</w:t>
                          </w:r>
                          <w:r>
                            <w:rPr>
                              <w:rFonts w:hint="default" w:ascii="Palatino Linotype" w:hAnsi="Palatino Linotype"/>
                              <w:i/>
                              <w:spacing w:val="-2"/>
                              <w:sz w:val="24"/>
                              <w:lang w:val="en-GB"/>
                            </w:rPr>
                            <w:t>6</w:t>
                          </w:r>
                          <w:r>
                            <w:rPr>
                              <w:rFonts w:ascii="Palatino Linotype" w:hAnsi="Palatino Linotype"/>
                              <w:i/>
                              <w:spacing w:val="-2"/>
                              <w:sz w:val="24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88.2pt;margin-top:17.7pt;height:17.05pt;width:175.95pt;mso-position-horizontal-relative:page;mso-position-vertical-relative:page;z-index:-251657216;mso-width-relative:page;mso-height-relative:page;" filled="f" stroked="f" coordsize="21600,21600" o:gfxdata="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GQHyVNkAAAAJAQAADwAAAAAAAAABACAAAAAiAAAAZHJzL2Rvd25yZXYueG1sUEsBAhQAFAAAAAgA&#10;h07iQHQRuwOyAQAAdA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4CE83D">
                    <w:pPr>
                      <w:spacing w:before="0" w:line="316" w:lineRule="exact"/>
                      <w:ind w:left="20" w:right="0" w:firstLine="0"/>
                      <w:jc w:val="left"/>
                      <w:rPr>
                        <w:rFonts w:ascii="Palatino Linotype" w:hAnsi="Palatino Linotype"/>
                        <w:i/>
                        <w:sz w:val="24"/>
                      </w:rPr>
                    </w:pPr>
                    <w:r>
                      <w:rPr>
                        <w:rFonts w:ascii="Palatino Linotype" w:hAnsi="Palatino Linotype"/>
                        <w:i/>
                        <w:sz w:val="24"/>
                      </w:rPr>
                      <w:t>Конференция</w:t>
                    </w:r>
                    <w:r>
                      <w:rPr>
                        <w:rFonts w:ascii="Palatino Linotype" w:hAnsi="Palatino Linotype"/>
                        <w:i/>
                        <w:spacing w:val="74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sz w:val="24"/>
                      </w:rPr>
                      <w:t>«Ломоносов-</w:t>
                    </w:r>
                    <w:r>
                      <w:rPr>
                        <w:rFonts w:ascii="Palatino Linotype" w:hAnsi="Palatino Linotype"/>
                        <w:i/>
                        <w:spacing w:val="-2"/>
                        <w:sz w:val="24"/>
                      </w:rPr>
                      <w:t>202</w:t>
                    </w:r>
                    <w:r>
                      <w:rPr>
                        <w:rFonts w:hint="default" w:ascii="Palatino Linotype" w:hAnsi="Palatino Linotype"/>
                        <w:i/>
                        <w:spacing w:val="-2"/>
                        <w:sz w:val="24"/>
                        <w:lang w:val="en-GB"/>
                      </w:rPr>
                      <w:t>6</w:t>
                    </w:r>
                    <w:r>
                      <w:rPr>
                        <w:rFonts w:ascii="Palatino Linotype" w:hAnsi="Palatino Linotype"/>
                        <w:i/>
                        <w:spacing w:val="-2"/>
                        <w:sz w:val="24"/>
                      </w:rPr>
                      <w:t>»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5BE3B"/>
    <w:multiLevelType w:val="singleLevel"/>
    <w:tmpl w:val="1D25BE3B"/>
    <w:lvl w:ilvl="0" w:tentative="0">
      <w:start w:val="1"/>
      <w:numFmt w:val="decimal"/>
      <w:suff w:val="space"/>
      <w:lvlText w:val="%1)"/>
      <w:lvlJc w:val="left"/>
      <w:pPr>
        <w:ind w:left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4A70C1B"/>
    <w:rsid w:val="790120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"/>
      <w:ind w:left="35" w:right="36"/>
      <w:jc w:val="center"/>
      <w:outlineLvl w:val="1"/>
    </w:pPr>
    <w:rPr>
      <w:rFonts w:ascii="Cambria" w:hAnsi="Cambria" w:eastAsia="Cambria" w:cs="Cambria"/>
      <w:b/>
      <w:bCs/>
      <w:sz w:val="24"/>
      <w:szCs w:val="24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41" w:firstLine="351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02"/>
      <w:ind w:left="725" w:hanging="324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1309</Words>
  <Characters>8815</Characters>
  <TotalTime>1</TotalTime>
  <ScaleCrop>false</ScaleCrop>
  <LinksUpToDate>false</LinksUpToDate>
  <CharactersWithSpaces>10092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2026-02-23T10:11:00Z</dcterms:created>
  <dc:creator>Lenovo</dc:creator>
  <cp:lastModifiedBy>WPS_1678590737</cp:lastModifiedBy>
  <dcterms:modified xsi:type="dcterms:W3CDTF">2026-02-23T10:19:49Z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2026-02-23T00:00:00Z</vt:filetime>
  </property>
  <property fmtid="{D5CDD505-2E9C-101B-9397-08002B2CF9AE}" pid="5" name="PTEX.Fullbanner">
    <vt:lpwstr>This is pdfTeX, Version 3.14159265-2.6-1.40.21 (TeX Live 2020/Debian) kpathsea version 6.3.2</vt:lpwstr>
  </property>
  <property fmtid="{D5CDD505-2E9C-101B-9397-08002B2CF9AE}" pid="6" name="Producer">
    <vt:lpwstr>pdfTeX-1.40.21</vt:lpwstr>
  </property>
  <property fmtid="{D5CDD505-2E9C-101B-9397-08002B2CF9AE}" pid="7" name="KSOTemplateDocerSaveRecord">
    <vt:lpwstr>eyJoZGlkIjoiODVlYTk1ZDBiYTc5NzdhN2NhN2Q1OGFjYzNlZWJiOWIiLCJ1c2VySWQiOiIxNDgwMDY1NTU5In0=</vt:lpwstr>
  </property>
  <property fmtid="{D5CDD505-2E9C-101B-9397-08002B2CF9AE}" pid="8" name="KSOProductBuildVer">
    <vt:lpwstr>2052-12.1.0.25225</vt:lpwstr>
  </property>
  <property fmtid="{D5CDD505-2E9C-101B-9397-08002B2CF9AE}" pid="9" name="ICV">
    <vt:lpwstr>4B815215188346CBAC50EEB8F048D68F_12</vt:lpwstr>
  </property>
</Properties>
</file>