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000000">
      <w:pPr>
        <w:rPr>
          <w:lang w:val="en-US"/>
        </w:rPr>
      </w:pPr>
    </w:p>
    <w:p w:rsidR="00C357EF" w:rsidRDefault="00D20520" w:rsidP="00621E6E">
      <w:pPr>
        <w:pStyle w:val="a3"/>
        <w:numPr>
          <w:ilvl w:val="0"/>
          <w:numId w:val="1"/>
        </w:numPr>
      </w:pPr>
      <w:r>
        <w:t>Проанализирована</w:t>
      </w:r>
      <w:r w:rsidRPr="00D20520">
        <w:t xml:space="preserve"> государственная поддержка кинематографа в Российской Федерации в условиях санкционных ограничений</w:t>
      </w:r>
      <w:r w:rsidR="00C357EF" w:rsidRPr="00C357EF">
        <w:t>;</w:t>
      </w:r>
    </w:p>
    <w:p w:rsidR="00C357EF" w:rsidRDefault="00C357EF" w:rsidP="00621E6E">
      <w:pPr>
        <w:pStyle w:val="a3"/>
        <w:numPr>
          <w:ilvl w:val="0"/>
          <w:numId w:val="1"/>
        </w:numPr>
      </w:pPr>
      <w:r w:rsidRPr="00D20520">
        <w:t>Показано, что после 2014 года, а особенно после 2022 года, государственная поддержка трансформировалась из элемента смешанной модели отрасли в доминирующий механизм финансирования кинопроизводства</w:t>
      </w:r>
      <w:r w:rsidRPr="00C357EF">
        <w:t>;</w:t>
      </w:r>
    </w:p>
    <w:p w:rsidR="00C357EF" w:rsidRDefault="00C357EF" w:rsidP="00C357EF">
      <w:pPr>
        <w:pStyle w:val="a3"/>
        <w:numPr>
          <w:ilvl w:val="0"/>
          <w:numId w:val="1"/>
        </w:numPr>
      </w:pPr>
      <w:r>
        <w:t>Рассмотрена проблема целесообразности вложения бюджетных средств через призму результативности актуальной модели поддержки</w:t>
      </w:r>
      <w:r w:rsidRPr="00C357EF">
        <w:t>;</w:t>
      </w:r>
    </w:p>
    <w:p w:rsidR="00D20520" w:rsidRDefault="00C357EF" w:rsidP="00C357EF">
      <w:pPr>
        <w:pStyle w:val="a3"/>
        <w:numPr>
          <w:ilvl w:val="0"/>
          <w:numId w:val="1"/>
        </w:numPr>
      </w:pPr>
      <w:r w:rsidRPr="00D20520">
        <w:t>На основе анализа выявлены системные ограничения действующей модели</w:t>
      </w:r>
      <w:r w:rsidRPr="00C357EF">
        <w:t>;</w:t>
      </w:r>
    </w:p>
    <w:p w:rsidR="00C357EF" w:rsidRDefault="00C357EF" w:rsidP="00C357EF">
      <w:pPr>
        <w:pStyle w:val="a3"/>
        <w:numPr>
          <w:ilvl w:val="0"/>
          <w:numId w:val="1"/>
        </w:numPr>
      </w:pPr>
      <w:r w:rsidRPr="00D20520">
        <w:t>Установлено, что преобладание компенсационного финансирования, ослабление селективной функции и разрыв между этапами финансирования и оценкой результата способствуют сохранению зависимой траектории развития отрасли</w:t>
      </w:r>
      <w:r w:rsidRPr="00C357EF">
        <w:t>;</w:t>
      </w:r>
    </w:p>
    <w:p w:rsidR="00C357EF" w:rsidRPr="00D20520" w:rsidRDefault="00C357EF" w:rsidP="00C357EF">
      <w:pPr>
        <w:pStyle w:val="a3"/>
        <w:numPr>
          <w:ilvl w:val="0"/>
          <w:numId w:val="1"/>
        </w:numPr>
      </w:pPr>
      <w:r>
        <w:t>Делается вывод о том</w:t>
      </w:r>
      <w:r w:rsidRPr="00D20520">
        <w:t>, что государственные вложения обоснованы в краткосрочной стабилизационной перспективе, однако их долгосрочная результативность ограничена отсутствием единой системы показателей, влияющих на последующие управленческие решения и перераспределение поддержки</w:t>
      </w:r>
      <w:r w:rsidRPr="00C357EF">
        <w:t>;</w:t>
      </w:r>
    </w:p>
    <w:sectPr w:rsidR="00C357EF" w:rsidRPr="00D20520" w:rsidSect="003554A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03C6D"/>
    <w:multiLevelType w:val="hybridMultilevel"/>
    <w:tmpl w:val="CFE8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87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0"/>
    <w:rsid w:val="00055093"/>
    <w:rsid w:val="003554AF"/>
    <w:rsid w:val="007B2108"/>
    <w:rsid w:val="00B323C6"/>
    <w:rsid w:val="00C357EF"/>
    <w:rsid w:val="00D2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49992"/>
  <w15:chartTrackingRefBased/>
  <w15:docId w15:val="{3045FE8B-FC9E-534F-8047-8F87BAA0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2026-03-07T07:54:00Z</dcterms:created>
  <dcterms:modified xsi:type="dcterms:W3CDTF">2026-03-07T08:47:00Z</dcterms:modified>
</cp:coreProperties>
</file>