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Трансформация культурной политики в условиях развития креативных индустрий приводит к переосмыслению роли продюсера в системе культурного производства. Если ранее продюсерская деятельность рассматривалась преимущественно как управленческая функция в рамках индустрии развлечений, то в современной модели ценностно-ориентированной экономики продюсер становится активным субъектом формирования культурной повестки и участником реализации государственной культурной политики.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Цель исследования — проанализировать управленческие решения продюсера в контексте взаимодействия рыночных механизмов и инструментов государственной культурной политики. В фокусе внимания находится фигура продюсера как медиатора между экономической эффективностью проекта и его общественной значимостью.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Теоретическую основу работы составляют положения институционального подхода к культурной политике, концепция культурного поля П. Бурдье, а также концепция ценностно-ориентированной экономики, в рамках которой креативный продюсер рассматривается как агент производства и трансляции общественно значимых смыслов. Согласно Т.Н. Суминовой, продюсер выступает субъектом, интегрирующим экономические и культурные ресурсы и формирующим ценностные основания культурного продукта.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российской модели культурной политики государство активно участвует в поддержке аудиовизуального сектора через систему грантов, субсидий и конкурсных отборов. Тем самым формируется пространство институциональных ограничений и возможностей, в рамках которого продюсер принимает стратегические решения. С одной стороны, он ориентируется на требования рынка — конкурентоспособность, окупаемость, востребованность аудитории. С другой — учитывает приоритеты государственной культурной политики, направленные на сохранение историко-культурного наследия, укрепление традиционных ценностей и развитие национального контента.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В этих условиях продюсерская деятельность приобретает двойственную природу. Управленческие решения затрагивают не только бюджетирование и организацию производства, но и содержательную концепцию проекта: выбор темы, художественной формы, целевой аудитории, каналов дистрибуции. Продюсер фактически осуществляет балансирование между логикой рынка и нормативной логикой государственной культурной политики.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Особое значение приобретает ценностный компонент управленческих решений. В рамках ценностно-ориентированной экономики культурный продукт рассматривается не только как товар, но и как носитель символического капитала и общественных смыслов. Следовательно, продюсер становится ответственным за формирование культурной идентичности и участие в воспроизводстве социально значимых установок.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Анализ показывает, что современный продюсер в российском культурном пространстве выступает не просто менеджером проекта, а субъектом культурной политики, принимающим решения на стыке экономических, институциональных и ценностных факторов. Его деятельность формирует практический механизм реализации культурной политики на уровне конкретных проектов.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Таким образом, продюсерская деятельность в условиях развития креативных индустрий может рассматриваться как особая форма управленческого посредничества между государством, рынком и обществом. Исследование данной проблематики позволяет расширить понимание продюсерства как института культурной политики и обозначить перспективы дальнейшего анализа механизмов регулирования аудиовизуального сектора.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Список литературы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Основы государственной культурной политики Российской Федерации. Утв. Указом Президента Российской Федерации от 24.12.2014 № 808.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Суминова Т.Н. Креативный продюсер как агент и субъект ценностно-ориентированной экономики // Экономика и управление. 2019. № 4. С. 85–92.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Флиер А.Я. Культурная политика: теория и практика. М., 2013.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Bourdieu P. The Field of Cultural Production. Cambridge, 1993.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Howkins J. The Creative Economy: How People Make Money from Ideas. London, 2001.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