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6521" w14:textId="77777777" w:rsidR="00CC668B" w:rsidRPr="00933212" w:rsidRDefault="00C85C7B">
      <w:pPr>
        <w:pStyle w:val="a3"/>
        <w:spacing w:before="91"/>
        <w:ind w:left="6126" w:firstLine="0"/>
        <w:jc w:val="left"/>
        <w:rPr>
          <w:lang w:val="ru-RU"/>
        </w:rPr>
      </w:pPr>
      <w:r w:rsidRPr="00933212">
        <w:rPr>
          <w:w w:val="105"/>
          <w:lang w:val="ru-RU"/>
        </w:rPr>
        <w:t>Секция &lt;</w:t>
      </w:r>
      <w:r w:rsidRPr="00933212">
        <w:rPr>
          <w:w w:val="105"/>
        </w:rPr>
        <w:t>C</w:t>
      </w:r>
      <w:r w:rsidRPr="00933212">
        <w:rPr>
          <w:w w:val="105"/>
          <w:lang w:val="ru-RU"/>
        </w:rPr>
        <w:t>ценические искусства&gt;</w:t>
      </w:r>
    </w:p>
    <w:p w14:paraId="498D7A34" w14:textId="75F5A3F3" w:rsidR="00CC668B" w:rsidRPr="00933212" w:rsidRDefault="00794238">
      <w:pPr>
        <w:pStyle w:val="1"/>
        <w:spacing w:before="216"/>
        <w:rPr>
          <w:rFonts w:ascii="Times New Roman" w:hAnsi="Times New Roman" w:cs="Times New Roman"/>
          <w:lang w:val="ru-RU"/>
        </w:rPr>
      </w:pPr>
      <w:r w:rsidRPr="00794238">
        <w:rPr>
          <w:rFonts w:ascii="Times New Roman" w:hAnsi="Times New Roman" w:cs="Times New Roman"/>
          <w:lang w:val="ru-RU"/>
        </w:rPr>
        <w:t>ИСТОРИ</w:t>
      </w:r>
      <w:r w:rsidR="00DE23F9">
        <w:rPr>
          <w:rFonts w:ascii="Times New Roman" w:hAnsi="Times New Roman" w:cs="Times New Roman"/>
          <w:lang w:val="ru-RU"/>
        </w:rPr>
        <w:t>Я</w:t>
      </w:r>
      <w:r w:rsidRPr="00794238">
        <w:rPr>
          <w:rFonts w:ascii="Times New Roman" w:hAnsi="Times New Roman" w:cs="Times New Roman"/>
          <w:lang w:val="ru-RU"/>
        </w:rPr>
        <w:t xml:space="preserve"> СОВРЕМЕННОГО ТАНЦА В КИТАЕ ВО ВТОРОЙ ПОЛОВИНЕ XX ВЕКА: ТЕЛЕСНЫЙ ЯЗЫК И МЕЖКУЛЬТУРНОЕ ВЛИЯНИЕ</w:t>
      </w:r>
      <w:r w:rsidR="00933212" w:rsidRPr="00933212">
        <w:rPr>
          <w:rFonts w:ascii="Times New Roman" w:hAnsi="Times New Roman" w:cs="Times New Roman"/>
          <w:lang w:val="ru-RU"/>
        </w:rPr>
        <w:t>.</w:t>
      </w:r>
    </w:p>
    <w:p w14:paraId="53960737" w14:textId="4E7E486D" w:rsidR="00CC668B" w:rsidRPr="00933212" w:rsidRDefault="008767FA">
      <w:pPr>
        <w:spacing w:before="230" w:line="279" w:lineRule="exact"/>
        <w:ind w:left="334" w:right="362"/>
        <w:jc w:val="center"/>
        <w:rPr>
          <w:b/>
          <w:i/>
          <w:sz w:val="24"/>
          <w:lang w:val="ru-RU"/>
        </w:rPr>
      </w:pPr>
      <w:r w:rsidRPr="008767FA">
        <w:rPr>
          <w:rFonts w:hint="eastAsia"/>
          <w:b/>
          <w:i/>
          <w:w w:val="120"/>
          <w:sz w:val="24"/>
          <w:lang w:val="ru-RU"/>
        </w:rPr>
        <w:t>Дуань</w:t>
      </w:r>
      <w:r w:rsidRPr="008767FA">
        <w:rPr>
          <w:b/>
          <w:i/>
          <w:w w:val="120"/>
          <w:sz w:val="24"/>
          <w:lang w:val="ru-RU"/>
        </w:rPr>
        <w:t xml:space="preserve"> Чэньфань</w:t>
      </w:r>
    </w:p>
    <w:p w14:paraId="3D9F9927" w14:textId="77777777" w:rsidR="00CC668B" w:rsidRPr="00933212" w:rsidRDefault="00C85C7B">
      <w:pPr>
        <w:spacing w:line="307" w:lineRule="exact"/>
        <w:ind w:left="349" w:right="362"/>
        <w:jc w:val="center"/>
        <w:rPr>
          <w:i/>
          <w:sz w:val="24"/>
          <w:lang w:val="ru-RU"/>
        </w:rPr>
      </w:pPr>
      <w:r w:rsidRPr="00933212">
        <w:rPr>
          <w:i/>
          <w:w w:val="105"/>
          <w:sz w:val="24"/>
          <w:lang w:val="ru-RU"/>
        </w:rPr>
        <w:t>Студент (магистр)</w:t>
      </w:r>
    </w:p>
    <w:p w14:paraId="2EC354A5" w14:textId="77777777" w:rsidR="00CC668B" w:rsidRPr="00933212" w:rsidRDefault="00C85C7B">
      <w:pPr>
        <w:pStyle w:val="a3"/>
        <w:spacing w:line="265" w:lineRule="exact"/>
        <w:ind w:left="357" w:right="362" w:firstLine="0"/>
        <w:jc w:val="center"/>
        <w:rPr>
          <w:lang w:val="ru-RU"/>
        </w:rPr>
      </w:pPr>
      <w:r w:rsidRPr="00933212">
        <w:rPr>
          <w:w w:val="105"/>
          <w:lang w:val="ru-RU"/>
        </w:rPr>
        <w:t>Московский государственный университет имени М.В.Ломоносова, Москва, Россия</w:t>
      </w:r>
    </w:p>
    <w:p w14:paraId="25071065" w14:textId="22DE0CD5" w:rsidR="00933212" w:rsidRPr="00DE23F9" w:rsidRDefault="00C85C7B" w:rsidP="00933212">
      <w:pPr>
        <w:spacing w:line="316" w:lineRule="exact"/>
        <w:ind w:left="341" w:right="362"/>
        <w:jc w:val="center"/>
        <w:rPr>
          <w:rFonts w:eastAsiaTheme="minorEastAsia"/>
          <w:lang w:val="ru-RU" w:eastAsia="zh-CN"/>
        </w:rPr>
      </w:pPr>
      <w:r w:rsidRPr="00933212">
        <w:rPr>
          <w:i/>
          <w:w w:val="105"/>
          <w:sz w:val="24"/>
        </w:rPr>
        <w:t>E</w:t>
      </w:r>
      <w:r w:rsidRPr="00DE23F9">
        <w:rPr>
          <w:i/>
          <w:w w:val="105"/>
          <w:sz w:val="24"/>
          <w:lang w:val="ru-RU"/>
        </w:rPr>
        <w:t>-</w:t>
      </w:r>
      <w:r w:rsidRPr="00933212">
        <w:rPr>
          <w:i/>
          <w:w w:val="105"/>
          <w:sz w:val="24"/>
        </w:rPr>
        <w:t>mail</w:t>
      </w:r>
      <w:r w:rsidRPr="00DE23F9">
        <w:rPr>
          <w:i/>
          <w:w w:val="105"/>
          <w:sz w:val="24"/>
          <w:lang w:val="ru-RU"/>
        </w:rPr>
        <w:t xml:space="preserve">: </w:t>
      </w:r>
      <w:hyperlink r:id="rId7" w:history="1">
        <w:r w:rsidR="008767FA" w:rsidRPr="005E6EFD">
          <w:rPr>
            <w:rStyle w:val="a9"/>
            <w:i/>
            <w:w w:val="105"/>
            <w:sz w:val="24"/>
          </w:rPr>
          <w:t>duanchenfan</w:t>
        </w:r>
        <w:r w:rsidR="008767FA" w:rsidRPr="00DE23F9">
          <w:rPr>
            <w:rStyle w:val="a9"/>
            <w:i/>
            <w:w w:val="105"/>
            <w:sz w:val="24"/>
            <w:lang w:val="ru-RU"/>
          </w:rPr>
          <w:t>0526@163.</w:t>
        </w:r>
        <w:r w:rsidR="008767FA" w:rsidRPr="00A37BC0">
          <w:rPr>
            <w:rStyle w:val="a9"/>
            <w:i/>
            <w:w w:val="105"/>
            <w:sz w:val="24"/>
          </w:rPr>
          <w:t>com</w:t>
        </w:r>
      </w:hyperlink>
    </w:p>
    <w:p w14:paraId="54516EA3" w14:textId="77777777" w:rsidR="005E6EFD" w:rsidRPr="005E6EFD" w:rsidRDefault="005E6EFD" w:rsidP="005E6EFD">
      <w:pPr>
        <w:spacing w:line="316" w:lineRule="exact"/>
        <w:ind w:left="340" w:right="363" w:firstLineChars="200" w:firstLine="482"/>
        <w:jc w:val="both"/>
        <w:rPr>
          <w:rFonts w:eastAsiaTheme="minorEastAsia"/>
          <w:iCs/>
          <w:sz w:val="24"/>
          <w:lang w:val="ru-RU" w:eastAsia="zh-CN"/>
        </w:rPr>
      </w:pPr>
      <w:r w:rsidRPr="005E6EFD">
        <w:rPr>
          <w:rFonts w:eastAsiaTheme="minorEastAsia"/>
          <w:b/>
          <w:bCs/>
          <w:iCs/>
          <w:sz w:val="24"/>
          <w:lang w:val="ru-RU" w:eastAsia="zh-CN"/>
        </w:rPr>
        <w:t>Аннотация</w:t>
      </w:r>
    </w:p>
    <w:p w14:paraId="530E3E7A" w14:textId="448762D6" w:rsidR="005E6EFD" w:rsidRPr="005E6EFD" w:rsidRDefault="005E6EFD" w:rsidP="005E6EFD">
      <w:pPr>
        <w:spacing w:line="316" w:lineRule="exact"/>
        <w:ind w:left="340" w:right="363" w:firstLineChars="200" w:firstLine="480"/>
        <w:jc w:val="both"/>
        <w:rPr>
          <w:rFonts w:eastAsiaTheme="minorEastAsia"/>
          <w:iCs/>
          <w:sz w:val="24"/>
          <w:lang w:val="ru-RU" w:eastAsia="zh-CN"/>
        </w:rPr>
      </w:pPr>
      <w:r w:rsidRPr="005E6EFD">
        <w:rPr>
          <w:rFonts w:eastAsiaTheme="minorEastAsia"/>
          <w:iCs/>
          <w:sz w:val="24"/>
          <w:lang w:val="ru-RU" w:eastAsia="zh-CN"/>
        </w:rPr>
        <w:t xml:space="preserve">Современный танец в Китае, несмотря на относительно короткую историю, прошел уникальный путь развития. Данная статья ставит целью рассмотреть ключевые этапы формирования современного танца в Китае во второй половине </w:t>
      </w:r>
      <w:r w:rsidRPr="005E6EFD">
        <w:rPr>
          <w:rFonts w:eastAsiaTheme="minorEastAsia"/>
          <w:iCs/>
          <w:sz w:val="24"/>
          <w:lang w:eastAsia="zh-CN"/>
        </w:rPr>
        <w:t>XX</w:t>
      </w:r>
      <w:r w:rsidRPr="005E6EFD">
        <w:rPr>
          <w:rFonts w:eastAsiaTheme="minorEastAsia"/>
          <w:iCs/>
          <w:sz w:val="24"/>
          <w:lang w:val="ru-RU" w:eastAsia="zh-CN"/>
        </w:rPr>
        <w:t xml:space="preserve"> века, уделяя особое внимание эволюции его телесного языка и раскрывая, как взаимодействие западных техник и традиционной китайской культуры сформировало самобытный облик китайского современного танца. Исследование выделяет три исторических этапа</w:t>
      </w:r>
      <w:r w:rsidR="00925810">
        <w:rPr>
          <w:rFonts w:eastAsiaTheme="minorEastAsia"/>
          <w:iCs/>
          <w:sz w:val="24"/>
          <w:lang w:val="ru-RU" w:eastAsia="zh-CN"/>
        </w:rPr>
        <w:t>.</w:t>
      </w:r>
      <w:r w:rsidRPr="005E6EFD">
        <w:rPr>
          <w:rFonts w:eastAsiaTheme="minorEastAsia"/>
          <w:iCs/>
          <w:sz w:val="24"/>
          <w:lang w:val="ru-RU" w:eastAsia="zh-CN"/>
        </w:rPr>
        <w:t xml:space="preserve"> В этом процессе телесный язык китайского современного танца приобрел уникальные черты синтеза: с одной стороны, он вобрал в себя свободу, динамизм и индивидуальную выразительность американского танца, а также строгость анализа движения и глубину выражения внутренних эмоций, свойственные немецкой школе; с другой стороны, он глубоко укоренен в традиционной китайской культуре, органично интегрируя в пластику линеарность и ритмику каллиграфии, философские концепции «гармонии» и «равновесия», а также элементы богатейшего национального фольклора. Исследование показывает, что формирование современного танца в Китае во второй половине </w:t>
      </w:r>
      <w:r w:rsidRPr="005E6EFD">
        <w:rPr>
          <w:rFonts w:eastAsiaTheme="minorEastAsia"/>
          <w:iCs/>
          <w:sz w:val="24"/>
          <w:lang w:eastAsia="zh-CN"/>
        </w:rPr>
        <w:t>XX</w:t>
      </w:r>
      <w:r w:rsidRPr="005E6EFD">
        <w:rPr>
          <w:rFonts w:eastAsiaTheme="minorEastAsia"/>
          <w:iCs/>
          <w:sz w:val="24"/>
          <w:lang w:val="ru-RU" w:eastAsia="zh-CN"/>
        </w:rPr>
        <w:t xml:space="preserve"> века стало сложным процессом движения от внешнего заимствования к внутреннему синтезу и обретению национальной идентичности. Ключевая особенность его телесного языка заключается в успешном сплаве западных техник и китайского культурного наследия, что не только обеспечивает ему уникальное место в мировом танцевальном искусстве, но и служит ярким примером межкультурного диалога. Дальнейшее развитие китайского современного танца видится в углублении связей с традиционной культурой, активизации международного обмена, совершенствовании системы образования и активном внедрении современных технологий для расширения его художественных возможностей и социальной роли.</w:t>
      </w:r>
    </w:p>
    <w:p w14:paraId="11DE6368" w14:textId="77777777" w:rsidR="005E6EFD" w:rsidRPr="00925810" w:rsidRDefault="005E6EFD">
      <w:pPr>
        <w:rPr>
          <w:rFonts w:eastAsia="Tahoma"/>
          <w:b/>
          <w:bCs/>
          <w:sz w:val="24"/>
          <w:szCs w:val="24"/>
          <w:lang w:val="ru-RU"/>
        </w:rPr>
      </w:pPr>
      <w:r w:rsidRPr="00925810">
        <w:rPr>
          <w:lang w:val="ru-RU"/>
        </w:rPr>
        <w:br w:type="page"/>
      </w:r>
    </w:p>
    <w:p w14:paraId="3C726C62" w14:textId="3FF41535" w:rsidR="00CC668B" w:rsidRPr="00933212" w:rsidRDefault="00C85C7B">
      <w:pPr>
        <w:pStyle w:val="1"/>
        <w:ind w:right="362"/>
        <w:rPr>
          <w:rFonts w:ascii="Times New Roman" w:hAnsi="Times New Roman" w:cs="Times New Roman"/>
        </w:rPr>
      </w:pPr>
      <w:r w:rsidRPr="00933212">
        <w:rPr>
          <w:rFonts w:ascii="Times New Roman" w:hAnsi="Times New Roman" w:cs="Times New Roman"/>
        </w:rPr>
        <w:lastRenderedPageBreak/>
        <w:t>Источники и литература</w:t>
      </w:r>
    </w:p>
    <w:p w14:paraId="0BD968ED" w14:textId="77777777" w:rsidR="008767FA" w:rsidRPr="0026014B" w:rsidRDefault="008767FA" w:rsidP="008767FA">
      <w:pPr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</w:pPr>
      <w:r w:rsidRPr="0026014B">
        <w:t>Duncan</w:t>
      </w:r>
      <w:r w:rsidRPr="00794238">
        <w:t xml:space="preserve">, </w:t>
      </w:r>
      <w:r w:rsidRPr="0026014B">
        <w:t>Isadora</w:t>
      </w:r>
      <w:r w:rsidRPr="00794238">
        <w:t xml:space="preserve">. </w:t>
      </w:r>
      <w:r w:rsidRPr="008767FA">
        <w:rPr>
          <w:lang w:val="ru-RU"/>
        </w:rPr>
        <w:t>Автобиография</w:t>
      </w:r>
      <w:r w:rsidRPr="00794238">
        <w:t xml:space="preserve"> </w:t>
      </w:r>
      <w:r w:rsidRPr="008767FA">
        <w:rPr>
          <w:lang w:val="ru-RU"/>
        </w:rPr>
        <w:t>Дункан</w:t>
      </w:r>
      <w:r w:rsidRPr="00794238">
        <w:t xml:space="preserve"> [</w:t>
      </w:r>
      <w:r w:rsidRPr="008767FA">
        <w:rPr>
          <w:lang w:val="ru-RU"/>
        </w:rPr>
        <w:t>М</w:t>
      </w:r>
      <w:r w:rsidRPr="00794238">
        <w:t xml:space="preserve">]. </w:t>
      </w:r>
      <w:r w:rsidRPr="0026014B">
        <w:t>Шанхайское переводческое издательство, 2005.</w:t>
      </w:r>
    </w:p>
    <w:p w14:paraId="2E9AFDB4" w14:textId="77777777" w:rsidR="008767FA" w:rsidRPr="0026014B" w:rsidRDefault="008767FA" w:rsidP="008767FA">
      <w:pPr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</w:pPr>
      <w:r w:rsidRPr="008767FA">
        <w:rPr>
          <w:lang w:val="ru-RU"/>
        </w:rPr>
        <w:t xml:space="preserve"> Грэм, Марта. Память крови: Автобиография [М]. </w:t>
      </w:r>
      <w:r w:rsidRPr="0026014B">
        <w:t>Doubleday, 1991.</w:t>
      </w:r>
    </w:p>
    <w:p w14:paraId="0B039F50" w14:textId="77777777" w:rsidR="008767FA" w:rsidRPr="0026014B" w:rsidRDefault="008767FA" w:rsidP="008767FA">
      <w:pPr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</w:pPr>
      <w:r w:rsidRPr="0026014B">
        <w:t xml:space="preserve"> Wigman, Mary. The Language of Dance [M]. Routledge, 2013.</w:t>
      </w:r>
    </w:p>
    <w:p w14:paraId="25036707" w14:textId="77777777" w:rsidR="008767FA" w:rsidRPr="0026014B" w:rsidRDefault="008767FA" w:rsidP="008767FA">
      <w:pPr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</w:pPr>
      <w:r w:rsidRPr="008767FA">
        <w:rPr>
          <w:lang w:val="ru-RU"/>
        </w:rPr>
        <w:t xml:space="preserve"> Бауш, Пина. Пина Бауш: Театр танца [М]. </w:t>
      </w:r>
      <w:r w:rsidRPr="0026014B">
        <w:t>Prestel, 2009.</w:t>
      </w:r>
    </w:p>
    <w:p w14:paraId="0E943C68" w14:textId="77777777" w:rsidR="008767FA" w:rsidRPr="0026014B" w:rsidRDefault="008767FA" w:rsidP="008767FA">
      <w:pPr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</w:pPr>
      <w:r w:rsidRPr="0026014B">
        <w:rPr>
          <w:lang w:eastAsia="zh-CN"/>
        </w:rPr>
        <w:t xml:space="preserve"> 童雁。现代化与民族化：中国当代舞蹈的建构与发展[J]. 北京舞蹈学院学报，2019.Tong Yan. </w:t>
      </w:r>
      <w:r w:rsidRPr="008767FA">
        <w:rPr>
          <w:lang w:val="ru-RU"/>
        </w:rPr>
        <w:t>Модернизация и национализация: строительство и развитие китайского современного танца [</w:t>
      </w:r>
      <w:r w:rsidRPr="0026014B">
        <w:t>J</w:t>
      </w:r>
      <w:r w:rsidRPr="008767FA">
        <w:rPr>
          <w:lang w:val="ru-RU"/>
        </w:rPr>
        <w:t xml:space="preserve">]. </w:t>
      </w:r>
      <w:r w:rsidRPr="0026014B">
        <w:t>Журнал Пекинской академии танца, 2019 (3): 8 - 13.</w:t>
      </w:r>
    </w:p>
    <w:p w14:paraId="67DE127C" w14:textId="77777777" w:rsidR="008767FA" w:rsidRPr="0026014B" w:rsidRDefault="008767FA" w:rsidP="008767FA">
      <w:pPr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</w:pPr>
      <w:r w:rsidRPr="0026014B">
        <w:rPr>
          <w:lang w:eastAsia="zh-CN"/>
        </w:rPr>
        <w:t xml:space="preserve"> 安元忠. 当代舞蹈编创中的创作理念与创作结构 [J]. 戏剧之家， 2019.An Yuanzhong. </w:t>
      </w:r>
      <w:r w:rsidRPr="008767FA">
        <w:rPr>
          <w:lang w:val="ru-RU"/>
        </w:rPr>
        <w:t>Творческие идеи и творческая структура в современной танцевальной хореографии [</w:t>
      </w:r>
      <w:r w:rsidRPr="0026014B">
        <w:t>J</w:t>
      </w:r>
      <w:r w:rsidRPr="008767FA">
        <w:rPr>
          <w:lang w:val="ru-RU"/>
        </w:rPr>
        <w:t xml:space="preserve">]. </w:t>
      </w:r>
      <w:r w:rsidRPr="0026014B">
        <w:t>Дом театра, 2019 (1): 125.</w:t>
      </w:r>
    </w:p>
    <w:p w14:paraId="4D77FB6F" w14:textId="77777777" w:rsidR="008767FA" w:rsidRPr="0026014B" w:rsidRDefault="008767FA" w:rsidP="008767FA">
      <w:pPr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</w:pPr>
      <w:r w:rsidRPr="0026014B">
        <w:rPr>
          <w:lang w:eastAsia="zh-CN"/>
        </w:rPr>
        <w:t xml:space="preserve"> 秦春峰．秦腔当代舞--从 “大汉苏武 ”谈中国民族歌剧的传承与创新[J]. </w:t>
      </w:r>
      <w:r w:rsidRPr="0026014B">
        <w:t>[J]. 戏剧文学，2018.Qin Chunfeng. Современный танец в Циньцяне - разговор о наследовании и новаторстве китайской национальной оперы от «Великой Хань Су У» [J]. Драматическая литература, 2018 (4): 93 - 96.</w:t>
      </w:r>
    </w:p>
    <w:p w14:paraId="0EF5A9BE" w14:textId="77777777" w:rsidR="008767FA" w:rsidRPr="0026014B" w:rsidRDefault="008767FA" w:rsidP="008767FA">
      <w:pPr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</w:pPr>
      <w:r w:rsidRPr="0026014B">
        <w:t xml:space="preserve"> 欧建平．中国当代舞蹈 60 年 [J]. 民族艺术，1998.Ou Jianping. 60 лет китайского современного танца [J]. Национальное искусство, 1998 (1): 89 - 102.</w:t>
      </w:r>
    </w:p>
    <w:p w14:paraId="017D9E64" w14:textId="77777777" w:rsidR="008767FA" w:rsidRPr="0026014B" w:rsidRDefault="008767FA" w:rsidP="008767FA">
      <w:pPr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</w:pPr>
      <w:r w:rsidRPr="0026014B">
        <w:rPr>
          <w:lang w:eastAsia="zh-CN"/>
        </w:rPr>
        <w:t xml:space="preserve"> 吕艺生。当代舞蹈缺乏特色 [J]. 舞蹈，1995. </w:t>
      </w:r>
      <w:r w:rsidRPr="0026014B">
        <w:t>Lv</w:t>
      </w:r>
      <w:r w:rsidRPr="008767FA">
        <w:rPr>
          <w:lang w:val="ru-RU"/>
        </w:rPr>
        <w:t xml:space="preserve"> </w:t>
      </w:r>
      <w:r w:rsidRPr="0026014B">
        <w:t>Yisheng</w:t>
      </w:r>
      <w:r w:rsidRPr="008767FA">
        <w:rPr>
          <w:lang w:val="ru-RU"/>
        </w:rPr>
        <w:t>. Современный танец характеризуется отсутствием особенностей [</w:t>
      </w:r>
      <w:r w:rsidRPr="0026014B">
        <w:t>J</w:t>
      </w:r>
      <w:r w:rsidRPr="008767FA">
        <w:rPr>
          <w:lang w:val="ru-RU"/>
        </w:rPr>
        <w:t xml:space="preserve">]. </w:t>
      </w:r>
      <w:r w:rsidRPr="0026014B">
        <w:t>Dance, 1995 (1): 19 - 21.</w:t>
      </w:r>
    </w:p>
    <w:p w14:paraId="674C288E" w14:textId="6F188CAF" w:rsidR="008767FA" w:rsidRPr="008767FA" w:rsidRDefault="008767FA" w:rsidP="008767FA">
      <w:pPr>
        <w:widowControl/>
        <w:numPr>
          <w:ilvl w:val="0"/>
          <w:numId w:val="1"/>
        </w:numPr>
        <w:autoSpaceDE/>
        <w:autoSpaceDN/>
        <w:spacing w:line="360" w:lineRule="auto"/>
        <w:contextualSpacing/>
        <w:jc w:val="both"/>
      </w:pPr>
      <w:r w:rsidRPr="008767FA">
        <w:rPr>
          <w:lang w:val="ru-RU"/>
        </w:rPr>
        <w:t xml:space="preserve"> </w:t>
      </w:r>
      <w:r w:rsidRPr="0026014B">
        <w:t>Zhang</w:t>
      </w:r>
      <w:r w:rsidRPr="008767FA">
        <w:rPr>
          <w:lang w:val="ru-RU"/>
        </w:rPr>
        <w:t xml:space="preserve"> </w:t>
      </w:r>
      <w:r w:rsidRPr="0026014B">
        <w:t>R</w:t>
      </w:r>
      <w:r w:rsidRPr="008767FA">
        <w:rPr>
          <w:lang w:val="ru-RU"/>
        </w:rPr>
        <w:t>. Стилистические характеристики технической подготовки современного танца Хосе Лимона [</w:t>
      </w:r>
      <w:r w:rsidRPr="0026014B">
        <w:t>J</w:t>
      </w:r>
      <w:r w:rsidRPr="008767FA">
        <w:rPr>
          <w:lang w:val="ru-RU"/>
        </w:rPr>
        <w:t xml:space="preserve">]. </w:t>
      </w:r>
      <w:r w:rsidRPr="0026014B">
        <w:t>Журнал Пекинской академии танца, 2018 (1): 101 - 103.</w:t>
      </w:r>
    </w:p>
    <w:sectPr w:rsidR="008767FA" w:rsidRPr="008767FA">
      <w:headerReference w:type="default" r:id="rId8"/>
      <w:footerReference w:type="default" r:id="rId9"/>
      <w:pgSz w:w="11910" w:h="16840"/>
      <w:pgMar w:top="1040" w:right="460" w:bottom="1040" w:left="1600" w:header="375" w:footer="8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9DB19" w14:textId="77777777" w:rsidR="00BE052F" w:rsidRDefault="00BE052F">
      <w:r>
        <w:separator/>
      </w:r>
    </w:p>
  </w:endnote>
  <w:endnote w:type="continuationSeparator" w:id="0">
    <w:p w14:paraId="394DA0D1" w14:textId="77777777" w:rsidR="00BE052F" w:rsidRDefault="00BE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FFA20" w14:textId="77777777" w:rsidR="00CC668B" w:rsidRDefault="00BE052F">
    <w:pPr>
      <w:pStyle w:val="a3"/>
      <w:spacing w:line="14" w:lineRule="auto"/>
      <w:ind w:left="0" w:firstLine="0"/>
      <w:jc w:val="left"/>
      <w:rPr>
        <w:sz w:val="20"/>
      </w:rPr>
    </w:pPr>
    <w:r>
      <w:pict w14:anchorId="5B1E607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9.1pt;margin-top:788.65pt;width:9.85pt;height:17.1pt;z-index:-2488;mso-position-horizontal-relative:page;mso-position-vertical-relative:page" filled="f" stroked="f">
          <v:textbox inset="0,0,0,0">
            <w:txbxContent>
              <w:p w14:paraId="0E2B0D31" w14:textId="77777777" w:rsidR="00CC668B" w:rsidRDefault="00C85C7B">
                <w:pPr>
                  <w:pStyle w:val="a3"/>
                  <w:spacing w:before="21"/>
                  <w:ind w:left="40" w:firstLine="0"/>
                  <w:jc w:val="left"/>
                </w:pPr>
                <w:r>
                  <w:fldChar w:fldCharType="begin"/>
                </w:r>
                <w:r>
                  <w:rPr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56BC4" w14:textId="77777777" w:rsidR="00BE052F" w:rsidRDefault="00BE052F">
      <w:r>
        <w:separator/>
      </w:r>
    </w:p>
  </w:footnote>
  <w:footnote w:type="continuationSeparator" w:id="0">
    <w:p w14:paraId="58500D5B" w14:textId="77777777" w:rsidR="00BE052F" w:rsidRDefault="00BE0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1B263" w14:textId="77777777" w:rsidR="00CC668B" w:rsidRDefault="00BE052F">
    <w:pPr>
      <w:pStyle w:val="a3"/>
      <w:spacing w:line="14" w:lineRule="auto"/>
      <w:ind w:left="0" w:firstLine="0"/>
      <w:jc w:val="left"/>
      <w:rPr>
        <w:sz w:val="20"/>
      </w:rPr>
    </w:pPr>
    <w:r>
      <w:pict w14:anchorId="374E8A5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8.2pt;margin-top:17.75pt;width:175.85pt;height:17.05pt;z-index:-2512;mso-position-horizontal-relative:page;mso-position-vertical-relative:page" filled="f" stroked="f">
          <v:textbox inset="0,0,0,0">
            <w:txbxContent>
              <w:p w14:paraId="37683AF5" w14:textId="40283B47" w:rsidR="00CC668B" w:rsidRDefault="00C85C7B">
                <w:pPr>
                  <w:spacing w:line="316" w:lineRule="exact"/>
                  <w:ind w:left="20"/>
                  <w:rPr>
                    <w:rFonts w:ascii="Palatino Linotype" w:hAnsi="Palatino Linotype"/>
                    <w:i/>
                    <w:sz w:val="24"/>
                  </w:rPr>
                </w:pPr>
                <w:r>
                  <w:rPr>
                    <w:rFonts w:ascii="Palatino Linotype" w:hAnsi="Palatino Linotype"/>
                    <w:i/>
                    <w:w w:val="105"/>
                    <w:sz w:val="24"/>
                  </w:rPr>
                  <w:t>Конференция</w:t>
                </w:r>
                <w:r>
                  <w:rPr>
                    <w:rFonts w:ascii="Palatino Linotype" w:hAnsi="Palatino Linotype"/>
                    <w:i/>
                    <w:spacing w:val="-25"/>
                    <w:w w:val="105"/>
                    <w:sz w:val="24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105"/>
                    <w:sz w:val="24"/>
                  </w:rPr>
                  <w:t>«Ломоносов-202</w:t>
                </w:r>
                <w:r w:rsidR="00B264F7">
                  <w:rPr>
                    <w:rFonts w:ascii="Palatino Linotype" w:eastAsiaTheme="minorEastAsia" w:hAnsi="Palatino Linotype" w:hint="eastAsia"/>
                    <w:i/>
                    <w:w w:val="105"/>
                    <w:sz w:val="24"/>
                    <w:lang w:eastAsia="zh-CN"/>
                  </w:rPr>
                  <w:t>6</w:t>
                </w:r>
                <w:r>
                  <w:rPr>
                    <w:rFonts w:ascii="Palatino Linotype" w:hAnsi="Palatino Linotype"/>
                    <w:i/>
                    <w:w w:val="105"/>
                    <w:sz w:val="24"/>
                  </w:rPr>
                  <w:t>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6DCE"/>
    <w:multiLevelType w:val="multilevel"/>
    <w:tmpl w:val="759A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84413"/>
    <w:multiLevelType w:val="multilevel"/>
    <w:tmpl w:val="AAA8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E04419"/>
    <w:multiLevelType w:val="multilevel"/>
    <w:tmpl w:val="85BC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DE5A5C"/>
    <w:multiLevelType w:val="hybridMultilevel"/>
    <w:tmpl w:val="909AE4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0F150C8"/>
    <w:multiLevelType w:val="hybridMultilevel"/>
    <w:tmpl w:val="7B969CEE"/>
    <w:lvl w:ilvl="0" w:tplc="C8E2FCC4">
      <w:start w:val="1"/>
      <w:numFmt w:val="decimal"/>
      <w:lvlText w:val="%1)"/>
      <w:lvlJc w:val="left"/>
      <w:pPr>
        <w:ind w:left="686" w:hanging="326"/>
        <w:jc w:val="left"/>
      </w:pPr>
      <w:rPr>
        <w:rFonts w:ascii="Times New Roman" w:eastAsia="Times New Roman" w:hAnsi="Times New Roman" w:cs="Times New Roman" w:hint="default"/>
        <w:w w:val="104"/>
        <w:sz w:val="24"/>
        <w:szCs w:val="24"/>
      </w:rPr>
    </w:lvl>
    <w:lvl w:ilvl="1" w:tplc="813EA6D6">
      <w:numFmt w:val="bullet"/>
      <w:lvlText w:val="•"/>
      <w:lvlJc w:val="left"/>
      <w:pPr>
        <w:ind w:left="1596" w:hanging="326"/>
      </w:pPr>
      <w:rPr>
        <w:rFonts w:hint="default"/>
      </w:rPr>
    </w:lvl>
    <w:lvl w:ilvl="2" w:tplc="E21269E4">
      <w:numFmt w:val="bullet"/>
      <w:lvlText w:val="•"/>
      <w:lvlJc w:val="left"/>
      <w:pPr>
        <w:ind w:left="2513" w:hanging="326"/>
      </w:pPr>
      <w:rPr>
        <w:rFonts w:hint="default"/>
      </w:rPr>
    </w:lvl>
    <w:lvl w:ilvl="3" w:tplc="DC86A306">
      <w:numFmt w:val="bullet"/>
      <w:lvlText w:val="•"/>
      <w:lvlJc w:val="left"/>
      <w:pPr>
        <w:ind w:left="3429" w:hanging="326"/>
      </w:pPr>
      <w:rPr>
        <w:rFonts w:hint="default"/>
      </w:rPr>
    </w:lvl>
    <w:lvl w:ilvl="4" w:tplc="B2D8ABC6">
      <w:numFmt w:val="bullet"/>
      <w:lvlText w:val="•"/>
      <w:lvlJc w:val="left"/>
      <w:pPr>
        <w:ind w:left="4346" w:hanging="326"/>
      </w:pPr>
      <w:rPr>
        <w:rFonts w:hint="default"/>
      </w:rPr>
    </w:lvl>
    <w:lvl w:ilvl="5" w:tplc="63588850">
      <w:numFmt w:val="bullet"/>
      <w:lvlText w:val="•"/>
      <w:lvlJc w:val="left"/>
      <w:pPr>
        <w:ind w:left="5262" w:hanging="326"/>
      </w:pPr>
      <w:rPr>
        <w:rFonts w:hint="default"/>
      </w:rPr>
    </w:lvl>
    <w:lvl w:ilvl="6" w:tplc="E53006E6">
      <w:numFmt w:val="bullet"/>
      <w:lvlText w:val="•"/>
      <w:lvlJc w:val="left"/>
      <w:pPr>
        <w:ind w:left="6179" w:hanging="326"/>
      </w:pPr>
      <w:rPr>
        <w:rFonts w:hint="default"/>
      </w:rPr>
    </w:lvl>
    <w:lvl w:ilvl="7" w:tplc="F48E82FE">
      <w:numFmt w:val="bullet"/>
      <w:lvlText w:val="•"/>
      <w:lvlJc w:val="left"/>
      <w:pPr>
        <w:ind w:left="7095" w:hanging="326"/>
      </w:pPr>
      <w:rPr>
        <w:rFonts w:hint="default"/>
      </w:rPr>
    </w:lvl>
    <w:lvl w:ilvl="8" w:tplc="DAA6B690">
      <w:numFmt w:val="bullet"/>
      <w:lvlText w:val="•"/>
      <w:lvlJc w:val="left"/>
      <w:pPr>
        <w:ind w:left="8012" w:hanging="326"/>
      </w:pPr>
      <w:rPr>
        <w:rFonts w:hint="default"/>
      </w:rPr>
    </w:lvl>
  </w:abstractNum>
  <w:abstractNum w:abstractNumId="5" w15:restartNumberingAfterBreak="0">
    <w:nsid w:val="68C80A8C"/>
    <w:multiLevelType w:val="multilevel"/>
    <w:tmpl w:val="9D786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CF6A7F"/>
    <w:multiLevelType w:val="multilevel"/>
    <w:tmpl w:val="911C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68B"/>
    <w:rsid w:val="00066146"/>
    <w:rsid w:val="00564807"/>
    <w:rsid w:val="005E6EFD"/>
    <w:rsid w:val="006B2385"/>
    <w:rsid w:val="0078309E"/>
    <w:rsid w:val="00794238"/>
    <w:rsid w:val="008767FA"/>
    <w:rsid w:val="00925810"/>
    <w:rsid w:val="00933212"/>
    <w:rsid w:val="00970DDC"/>
    <w:rsid w:val="00A1256F"/>
    <w:rsid w:val="00B264F7"/>
    <w:rsid w:val="00BE052F"/>
    <w:rsid w:val="00C85C7B"/>
    <w:rsid w:val="00CC668B"/>
    <w:rsid w:val="00DB2CA4"/>
    <w:rsid w:val="00DE23F9"/>
    <w:rsid w:val="00E314CA"/>
    <w:rsid w:val="00EA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17A8354"/>
  <w15:docId w15:val="{E3EBC104-A94C-4000-8367-2B51E3183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73"/>
      <w:ind w:left="357" w:right="361"/>
      <w:jc w:val="center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35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91"/>
      <w:ind w:left="686" w:hanging="32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264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64F7"/>
    <w:rPr>
      <w:rFonts w:ascii="Times New Roman" w:eastAsia="Times New Roman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64F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64F7"/>
    <w:rPr>
      <w:rFonts w:ascii="Times New Roman" w:eastAsia="Times New Roman" w:hAnsi="Times New Roman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8767F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6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uanchenfan0526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1412437817@qq.com</cp:lastModifiedBy>
  <cp:revision>12</cp:revision>
  <dcterms:created xsi:type="dcterms:W3CDTF">2026-03-02T14:17:00Z</dcterms:created>
  <dcterms:modified xsi:type="dcterms:W3CDTF">2026-03-02T17:29:00Z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2025-03-09T00:00:00Z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2026-03-02T00:00:00Z</vt:filetime>
  </property>
</Properties>
</file>