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C9A4" w14:textId="5C3BF885" w:rsidR="00E174A8" w:rsidRPr="00A47E79" w:rsidRDefault="00B76964" w:rsidP="00B76964">
      <w:pPr>
        <w:spacing w:after="0" w:line="240" w:lineRule="auto"/>
        <w:jc w:val="center"/>
        <w:rPr>
          <w:rFonts w:eastAsia="宋体"/>
          <w:b/>
          <w:bCs/>
          <w:sz w:val="24"/>
          <w:szCs w:val="24"/>
          <w:lang w:val="ru-RU" w:eastAsia="zh-CN"/>
        </w:rPr>
      </w:pPr>
      <w:bookmarkStart w:id="0" w:name="OLE_LINK2"/>
      <w:r w:rsidRPr="00A47E79">
        <w:rPr>
          <w:b/>
          <w:bCs/>
          <w:sz w:val="24"/>
          <w:szCs w:val="24"/>
          <w:lang w:val="ru-RU"/>
        </w:rPr>
        <w:t>К ВОПРОСУ О ТИПОЛОГИИ АКТЁРСКИХ РОЛЕЙ КАК ПРОБЛЕМЕ ПОЭТИКИ ТЕАТРА</w:t>
      </w:r>
    </w:p>
    <w:p w14:paraId="65CA93E5" w14:textId="77777777" w:rsidR="00A47E79" w:rsidRPr="00A47E79" w:rsidRDefault="00A47E79" w:rsidP="00B76964">
      <w:pPr>
        <w:spacing w:after="0" w:line="240" w:lineRule="auto"/>
        <w:jc w:val="center"/>
        <w:rPr>
          <w:rFonts w:eastAsia="宋体"/>
          <w:sz w:val="24"/>
          <w:szCs w:val="24"/>
          <w:lang w:val="ru-RU" w:eastAsia="zh-CN"/>
        </w:rPr>
      </w:pPr>
    </w:p>
    <w:p w14:paraId="60A67A83" w14:textId="01AD05F7" w:rsidR="00E174A8" w:rsidRPr="00A47E79" w:rsidRDefault="00000000" w:rsidP="00A47E79">
      <w:pPr>
        <w:spacing w:after="0" w:line="240" w:lineRule="exact"/>
        <w:jc w:val="center"/>
        <w:rPr>
          <w:b/>
          <w:bCs/>
          <w:i/>
          <w:iCs/>
          <w:sz w:val="24"/>
          <w:szCs w:val="24"/>
          <w:lang w:val="ru-RU"/>
        </w:rPr>
      </w:pPr>
      <w:r w:rsidRPr="00A47E79">
        <w:rPr>
          <w:b/>
          <w:bCs/>
          <w:i/>
          <w:iCs/>
          <w:sz w:val="24"/>
          <w:szCs w:val="24"/>
          <w:lang w:val="ru-RU"/>
        </w:rPr>
        <w:t>Ван Чжунсин</w:t>
      </w:r>
    </w:p>
    <w:p w14:paraId="6DB6D059" w14:textId="77777777" w:rsidR="00E174A8" w:rsidRPr="00A47E79" w:rsidRDefault="00000000" w:rsidP="00A47E79">
      <w:pPr>
        <w:spacing w:after="0" w:line="240" w:lineRule="exact"/>
        <w:jc w:val="center"/>
        <w:rPr>
          <w:b/>
          <w:bCs/>
          <w:i/>
          <w:iCs/>
          <w:sz w:val="24"/>
          <w:szCs w:val="24"/>
          <w:lang w:val="ru-RU"/>
        </w:rPr>
      </w:pPr>
      <w:r w:rsidRPr="00A47E79">
        <w:rPr>
          <w:b/>
          <w:bCs/>
          <w:i/>
          <w:iCs/>
          <w:sz w:val="24"/>
          <w:szCs w:val="24"/>
          <w:lang w:val="ru-RU"/>
        </w:rPr>
        <w:t>Аспирант</w:t>
      </w:r>
    </w:p>
    <w:p w14:paraId="76C15C79" w14:textId="77777777" w:rsidR="00A47E79" w:rsidRPr="00A47E79" w:rsidRDefault="00A47E79" w:rsidP="00A47E79">
      <w:pPr>
        <w:widowControl w:val="0"/>
        <w:spacing w:after="0" w:line="240" w:lineRule="exact"/>
        <w:ind w:firstLine="397"/>
        <w:jc w:val="center"/>
        <w:rPr>
          <w:rFonts w:eastAsia="等线" w:cs="Times New Roman"/>
          <w:i/>
          <w:kern w:val="2"/>
          <w:sz w:val="24"/>
          <w:szCs w:val="24"/>
          <w:lang w:val="ru-RU" w:eastAsia="zh-CN"/>
        </w:rPr>
      </w:pPr>
      <w:r w:rsidRPr="00A47E79">
        <w:rPr>
          <w:rFonts w:eastAsia="等线" w:cs="Times New Roman"/>
          <w:i/>
          <w:kern w:val="2"/>
          <w:sz w:val="24"/>
          <w:szCs w:val="24"/>
          <w:lang w:val="ru-RU" w:eastAsia="zh-CN"/>
        </w:rPr>
        <w:t>Факультет искусств МГУ имени М.В. Ломоносова</w:t>
      </w:r>
    </w:p>
    <w:p w14:paraId="73058278" w14:textId="77777777" w:rsidR="00A47E79" w:rsidRPr="00A47E79" w:rsidRDefault="00A47E79" w:rsidP="00A47E79">
      <w:pPr>
        <w:widowControl w:val="0"/>
        <w:spacing w:after="0" w:line="240" w:lineRule="exact"/>
        <w:ind w:firstLine="397"/>
        <w:jc w:val="center"/>
        <w:rPr>
          <w:rFonts w:eastAsia="等线" w:cs="Times New Roman"/>
          <w:i/>
          <w:kern w:val="2"/>
          <w:sz w:val="24"/>
          <w:szCs w:val="24"/>
          <w:lang w:val="ru-RU" w:eastAsia="zh-CN"/>
        </w:rPr>
      </w:pPr>
      <w:r w:rsidRPr="00A47E79">
        <w:rPr>
          <w:rFonts w:eastAsia="等线" w:cs="Times New Roman"/>
          <w:i/>
          <w:kern w:val="2"/>
          <w:sz w:val="24"/>
          <w:szCs w:val="24"/>
          <w:lang w:val="ru-RU" w:eastAsia="zh-CN"/>
        </w:rPr>
        <w:t>Москва, Россия</w:t>
      </w:r>
    </w:p>
    <w:p w14:paraId="27D2300E" w14:textId="154C5AC6" w:rsidR="00E174A8" w:rsidRPr="00A47E79" w:rsidRDefault="00000000" w:rsidP="00A47E79">
      <w:pPr>
        <w:spacing w:after="0" w:line="240" w:lineRule="exact"/>
        <w:jc w:val="center"/>
        <w:rPr>
          <w:rFonts w:eastAsia="宋体"/>
          <w:sz w:val="24"/>
          <w:szCs w:val="24"/>
          <w:lang w:val="ru-RU" w:eastAsia="zh-CN"/>
        </w:rPr>
      </w:pPr>
      <w:r w:rsidRPr="00A47E79">
        <w:rPr>
          <w:sz w:val="24"/>
          <w:szCs w:val="24"/>
          <w:lang w:val="it-IT"/>
        </w:rPr>
        <w:t>E</w:t>
      </w:r>
      <w:r w:rsidRPr="00A47E79">
        <w:rPr>
          <w:sz w:val="24"/>
          <w:szCs w:val="24"/>
          <w:lang w:val="ru-RU"/>
        </w:rPr>
        <w:t>-</w:t>
      </w:r>
      <w:r w:rsidRPr="00A47E79">
        <w:rPr>
          <w:sz w:val="24"/>
          <w:szCs w:val="24"/>
          <w:lang w:val="it-IT"/>
        </w:rPr>
        <w:t>mail</w:t>
      </w:r>
      <w:r w:rsidRPr="00A47E79">
        <w:rPr>
          <w:sz w:val="24"/>
          <w:szCs w:val="24"/>
          <w:lang w:val="ru-RU"/>
        </w:rPr>
        <w:t xml:space="preserve">: </w:t>
      </w:r>
      <w:r w:rsidR="00B76964" w:rsidRPr="00A47E79">
        <w:rPr>
          <w:sz w:val="24"/>
          <w:szCs w:val="24"/>
          <w:lang w:val="it-IT"/>
        </w:rPr>
        <w:t>zhongxing</w:t>
      </w:r>
      <w:r w:rsidR="00B76964" w:rsidRPr="00A47E79">
        <w:rPr>
          <w:sz w:val="24"/>
          <w:szCs w:val="24"/>
          <w:lang w:val="ru-RU"/>
        </w:rPr>
        <w:t>97@</w:t>
      </w:r>
      <w:r w:rsidR="00B76964" w:rsidRPr="00A47E79">
        <w:rPr>
          <w:sz w:val="24"/>
          <w:szCs w:val="24"/>
          <w:lang w:val="it-IT"/>
        </w:rPr>
        <w:t>qq</w:t>
      </w:r>
      <w:r w:rsidR="00B76964" w:rsidRPr="00A47E79">
        <w:rPr>
          <w:sz w:val="24"/>
          <w:szCs w:val="24"/>
          <w:lang w:val="ru-RU"/>
        </w:rPr>
        <w:t>.</w:t>
      </w:r>
      <w:r w:rsidR="00B76964" w:rsidRPr="00A47E79">
        <w:rPr>
          <w:sz w:val="24"/>
          <w:szCs w:val="24"/>
          <w:lang w:val="it-IT"/>
        </w:rPr>
        <w:t>com</w:t>
      </w:r>
    </w:p>
    <w:p w14:paraId="64E35AF5" w14:textId="77777777" w:rsidR="00B76964" w:rsidRPr="00A47E79" w:rsidRDefault="00B76964" w:rsidP="00B76964">
      <w:pPr>
        <w:spacing w:after="0" w:line="240" w:lineRule="auto"/>
        <w:jc w:val="center"/>
        <w:rPr>
          <w:rFonts w:eastAsia="宋体"/>
          <w:sz w:val="24"/>
          <w:szCs w:val="24"/>
          <w:lang w:val="ru-RU" w:eastAsia="zh-CN"/>
        </w:rPr>
      </w:pPr>
    </w:p>
    <w:p w14:paraId="7B7F9EB0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 xml:space="preserve">В </w:t>
      </w:r>
      <w:r w:rsidRPr="00A47E79">
        <w:rPr>
          <w:sz w:val="24"/>
          <w:szCs w:val="24"/>
        </w:rPr>
        <w:t>XX</w:t>
      </w:r>
      <w:r w:rsidRPr="00A47E79">
        <w:rPr>
          <w:sz w:val="24"/>
          <w:szCs w:val="24"/>
          <w:lang w:val="ru-RU"/>
        </w:rPr>
        <w:t xml:space="preserve"> веке типология актёра — китайские роли или европейские амплуа — нередко трактовалась как внешний ярлык, ограничивающий индивидуальность исполнителя. Источники и сценическая практика свидетельствуют об обратном. В докладе предлагается понимать типологию как поэтический механизм — систему норм, задающую репертуар сценических действий и правила их соединения.</w:t>
      </w:r>
    </w:p>
    <w:p w14:paraId="69F7B14F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Корпус источников образуют: архивная фиксация беседы 14 апреля 1935 года между Мэй Ланьфаном и советскими театральными мастерами (ГА РФ. Ф. Р5283. Оп. 4. Д. 168. Л. 1–67); трактаты, в которых типология осмысляется как самостоятельная проблема; работы по семиотике искусства, дающие аппарат для описания роли-типа.</w:t>
      </w:r>
    </w:p>
    <w:p w14:paraId="5E5A08C7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Советские мастера восприняли китайский театр как цельную систему сценического языка. А.Я. Таиров фиксирует органическое сопряжение средств: «Когда на сцене у д-ра Мэй Ланьфана жест переходит в танец, танец переходит в слово, а слово переходит в арию… мы увидели в этом органическое свойство театра» [4]. Типологическая организация ролей предстаёт здесь внутренним принципом синтеза.</w:t>
      </w:r>
    </w:p>
    <w:p w14:paraId="3F0F9568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 xml:space="preserve">Функционирование типологии как поэтики раскрывается на четырёх уровнях. </w:t>
      </w:r>
      <w:r w:rsidRPr="00A47E79">
        <w:rPr>
          <w:i/>
          <w:iCs/>
          <w:sz w:val="24"/>
          <w:szCs w:val="24"/>
          <w:lang w:val="ru-RU"/>
        </w:rPr>
        <w:t>Поэтика тела и обучения</w:t>
      </w:r>
      <w:r w:rsidRPr="00A47E79">
        <w:rPr>
          <w:sz w:val="24"/>
          <w:szCs w:val="24"/>
          <w:lang w:val="ru-RU"/>
        </w:rPr>
        <w:t xml:space="preserve">: распределение по типам определяет профиль развития голоса, дыхания, пластики и темпо-ритма; Ли </w:t>
      </w:r>
      <w:proofErr w:type="spellStart"/>
      <w:r w:rsidRPr="00A47E79">
        <w:rPr>
          <w:sz w:val="24"/>
          <w:szCs w:val="24"/>
          <w:lang w:val="ru-RU"/>
        </w:rPr>
        <w:t>Юй</w:t>
      </w:r>
      <w:proofErr w:type="spellEnd"/>
      <w:r w:rsidRPr="00A47E79">
        <w:rPr>
          <w:sz w:val="24"/>
          <w:szCs w:val="24"/>
          <w:lang w:val="ru-RU"/>
        </w:rPr>
        <w:t xml:space="preserve"> (</w:t>
      </w:r>
      <w:r w:rsidRPr="00A47E79">
        <w:rPr>
          <w:sz w:val="24"/>
          <w:szCs w:val="24"/>
        </w:rPr>
        <w:t>XVII</w:t>
      </w:r>
      <w:r w:rsidRPr="00A47E79">
        <w:rPr>
          <w:sz w:val="24"/>
          <w:szCs w:val="24"/>
          <w:lang w:val="ru-RU"/>
        </w:rPr>
        <w:t xml:space="preserve"> век) описывает типологию как методологию формирования актёра, где норма не подавляет индивидуальности, но делает её различимой. </w:t>
      </w:r>
      <w:r w:rsidRPr="00A47E79">
        <w:rPr>
          <w:i/>
          <w:iCs/>
          <w:sz w:val="24"/>
          <w:szCs w:val="24"/>
          <w:lang w:val="ru-RU"/>
        </w:rPr>
        <w:t>Поэтика драматургической организации</w:t>
      </w:r>
      <w:r w:rsidRPr="00A47E79">
        <w:rPr>
          <w:sz w:val="24"/>
          <w:szCs w:val="24"/>
          <w:lang w:val="ru-RU"/>
        </w:rPr>
        <w:t xml:space="preserve">: устойчивые функции типов образуют </w:t>
      </w:r>
      <w:proofErr w:type="spellStart"/>
      <w:r w:rsidRPr="00A47E79">
        <w:rPr>
          <w:sz w:val="24"/>
          <w:szCs w:val="24"/>
          <w:lang w:val="ru-RU"/>
        </w:rPr>
        <w:t>нарративно</w:t>
      </w:r>
      <w:proofErr w:type="spellEnd"/>
      <w:r w:rsidRPr="00A47E79">
        <w:rPr>
          <w:sz w:val="24"/>
          <w:szCs w:val="24"/>
          <w:lang w:val="ru-RU"/>
        </w:rPr>
        <w:t xml:space="preserve">-функциональную модель, перераспределяющую внимание зрителя с вопроса «что происходит» на «как это сделано». </w:t>
      </w:r>
      <w:r w:rsidRPr="00A47E79">
        <w:rPr>
          <w:i/>
          <w:iCs/>
          <w:sz w:val="24"/>
          <w:szCs w:val="24"/>
          <w:lang w:val="ru-RU"/>
        </w:rPr>
        <w:t>Поэтика художественного синтеза</w:t>
      </w:r>
      <w:r w:rsidRPr="00A47E79">
        <w:rPr>
          <w:sz w:val="24"/>
          <w:szCs w:val="24"/>
          <w:lang w:val="ru-RU"/>
        </w:rPr>
        <w:t xml:space="preserve">: типология координирует переходы между пением, речью, движением и акробатикой, соотнося их со сценической функцией, а не с психологической характерологией. </w:t>
      </w:r>
      <w:r w:rsidRPr="00A47E79">
        <w:rPr>
          <w:i/>
          <w:iCs/>
          <w:sz w:val="24"/>
          <w:szCs w:val="24"/>
          <w:lang w:val="ru-RU"/>
        </w:rPr>
        <w:t>Поэтика рецепции</w:t>
      </w:r>
      <w:r w:rsidRPr="00A47E79">
        <w:rPr>
          <w:sz w:val="24"/>
          <w:szCs w:val="24"/>
          <w:lang w:val="ru-RU"/>
        </w:rPr>
        <w:t>: общий код сцены и зала позволяет зрителю оценивать точность и изобретательность вариаций [5].</w:t>
      </w:r>
    </w:p>
    <w:p w14:paraId="53E38BD3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Философское основание — космологическая логика соответствий. «Аналогическое мышление» выявляет родство и резонанс явлений [1; 3]; Инь–Ян и У-</w:t>
      </w:r>
      <w:proofErr w:type="spellStart"/>
      <w:r w:rsidRPr="00A47E79">
        <w:rPr>
          <w:sz w:val="24"/>
          <w:szCs w:val="24"/>
          <w:lang w:val="ru-RU"/>
        </w:rPr>
        <w:t>син</w:t>
      </w:r>
      <w:proofErr w:type="spellEnd"/>
      <w:r w:rsidRPr="00A47E79">
        <w:rPr>
          <w:sz w:val="24"/>
          <w:szCs w:val="24"/>
          <w:lang w:val="ru-RU"/>
        </w:rPr>
        <w:t xml:space="preserve"> задают принципы взаимной дополнительности типов, проецируясь на грим, костюм, ладовые модели и телесную технику. Материальной основой системы служит ограниченный словарь исполнительских знаков, соединяемых по правилам сценической грамматики. </w:t>
      </w:r>
      <w:proofErr w:type="spellStart"/>
      <w:r w:rsidRPr="00A47E79">
        <w:rPr>
          <w:sz w:val="24"/>
          <w:szCs w:val="24"/>
          <w:lang w:val="ru-RU"/>
        </w:rPr>
        <w:t>Генеративность</w:t>
      </w:r>
      <w:proofErr w:type="spellEnd"/>
      <w:r w:rsidRPr="00A47E79">
        <w:rPr>
          <w:sz w:val="24"/>
          <w:szCs w:val="24"/>
          <w:lang w:val="ru-RU"/>
        </w:rPr>
        <w:t xml:space="preserve"> обеспечивается рекомбинацией знаков внутри типа и механизмом размытых границ, описываемым через </w:t>
      </w:r>
      <w:proofErr w:type="spellStart"/>
      <w:r w:rsidRPr="00A47E79">
        <w:rPr>
          <w:sz w:val="24"/>
          <w:szCs w:val="24"/>
          <w:lang w:val="ru-RU"/>
        </w:rPr>
        <w:t>витгенштейновское</w:t>
      </w:r>
      <w:proofErr w:type="spellEnd"/>
      <w:r w:rsidRPr="00A47E79">
        <w:rPr>
          <w:sz w:val="24"/>
          <w:szCs w:val="24"/>
          <w:lang w:val="ru-RU"/>
        </w:rPr>
        <w:t xml:space="preserve"> «семейное сходство» [2]: индивидуальность актёра обнаруживается как способ селекции и комбинации знаков при сохранении читаемости для зрителя.</w:t>
      </w:r>
    </w:p>
    <w:p w14:paraId="5B77FDB6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Сопоставление с европейскими амплуа уточняет различия. У Мейерхольда амплуа выводится из логики гротеска и «перестройки» сценического человека под квалифицированную должность; игра мыслится как система элементов «намерение — осуществление — реакция» [6]. Китайская типология укоренена в космологической модели и одновременно организует технику тела, музыкально-пластический синтез и знаковую экономию спектакля. Если в европейском режиссёрском театре переходы между амплуа задаются постановочным решением, то в китайском вариативность строится как внутренняя работа актёра на границах «семьи» типов [7]. В японских и индийских традициях также действуют устойчивые «матрицы» роли, что позволяет говорить о типологической организации как универсальном механизме театральной поэтики.</w:t>
      </w:r>
    </w:p>
    <w:p w14:paraId="254D03B7" w14:textId="77777777" w:rsidR="00A47E79" w:rsidRPr="00A47E79" w:rsidRDefault="00A47E79" w:rsidP="00A47E79">
      <w:pPr>
        <w:spacing w:after="0" w:line="240" w:lineRule="auto"/>
        <w:ind w:firstLineChars="253" w:firstLine="607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lastRenderedPageBreak/>
        <w:t>Действуя как порождающая грамматика сценического действия, типология снимает противопоставление нормы и свободы: индивидуальность актёра обнаруживается через освоение нормы и вариативное применение её средств.</w:t>
      </w:r>
    </w:p>
    <w:p w14:paraId="1F47C946" w14:textId="77777777" w:rsidR="00B76964" w:rsidRPr="00A47E79" w:rsidRDefault="00B76964" w:rsidP="00B76964">
      <w:pPr>
        <w:spacing w:after="0" w:line="240" w:lineRule="auto"/>
        <w:ind w:firstLineChars="253" w:firstLine="607"/>
        <w:jc w:val="both"/>
        <w:rPr>
          <w:rFonts w:eastAsia="宋体"/>
          <w:sz w:val="24"/>
          <w:szCs w:val="24"/>
          <w:lang w:val="ru-RU" w:eastAsia="zh-CN"/>
        </w:rPr>
      </w:pPr>
    </w:p>
    <w:p w14:paraId="4B8557EE" w14:textId="77777777" w:rsidR="00A47E79" w:rsidRDefault="00A47E79" w:rsidP="008F2011">
      <w:pPr>
        <w:widowControl w:val="0"/>
        <w:tabs>
          <w:tab w:val="left" w:pos="3564"/>
        </w:tabs>
        <w:spacing w:after="0" w:line="240" w:lineRule="exact"/>
        <w:jc w:val="center"/>
        <w:rPr>
          <w:rFonts w:eastAsia="宋体" w:cs="Times New Roman"/>
          <w:b/>
          <w:bCs/>
          <w:kern w:val="2"/>
          <w:sz w:val="24"/>
          <w:szCs w:val="24"/>
          <w:lang w:val="ru-RU" w:eastAsia="zh-CN"/>
        </w:rPr>
      </w:pPr>
      <w:bookmarkStart w:id="1" w:name="OLE_LINK3"/>
      <w:r w:rsidRPr="00A47E79">
        <w:rPr>
          <w:rFonts w:eastAsia="宋体" w:cs="Times New Roman"/>
          <w:b/>
          <w:bCs/>
          <w:kern w:val="2"/>
          <w:sz w:val="24"/>
          <w:szCs w:val="24"/>
          <w:lang w:val="ru-RU" w:eastAsia="zh-CN"/>
        </w:rPr>
        <w:t>Литература</w:t>
      </w:r>
    </w:p>
    <w:p w14:paraId="6D6A0B88" w14:textId="77777777" w:rsidR="008F2011" w:rsidRPr="00A47E79" w:rsidRDefault="008F2011" w:rsidP="008F2011">
      <w:pPr>
        <w:widowControl w:val="0"/>
        <w:tabs>
          <w:tab w:val="left" w:pos="3564"/>
        </w:tabs>
        <w:spacing w:after="0" w:line="240" w:lineRule="exact"/>
        <w:jc w:val="center"/>
        <w:rPr>
          <w:rFonts w:eastAsia="宋体" w:cs="Times New Roman"/>
          <w:kern w:val="2"/>
          <w:sz w:val="24"/>
          <w:szCs w:val="24"/>
          <w:lang w:val="ru-RU" w:eastAsia="zh-CN"/>
        </w:rPr>
      </w:pPr>
    </w:p>
    <w:bookmarkEnd w:id="1"/>
    <w:p w14:paraId="2DE4F5BB" w14:textId="77777777" w:rsidR="00E174A8" w:rsidRPr="00A47E79" w:rsidRDefault="00000000" w:rsidP="00B76964">
      <w:pPr>
        <w:spacing w:after="0" w:line="240" w:lineRule="auto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[1] Аристотель. Поэтика // Аристотель. Этика. Политика. Риторика. Поэтика. Категории. Минск: Литература, 1998. С. 1064–1112.</w:t>
      </w:r>
    </w:p>
    <w:p w14:paraId="6580EC16" w14:textId="60F3D13A" w:rsidR="00E174A8" w:rsidRPr="00A47E79" w:rsidRDefault="00000000" w:rsidP="00B76964">
      <w:pPr>
        <w:spacing w:after="0" w:line="240" w:lineRule="auto"/>
        <w:jc w:val="both"/>
        <w:rPr>
          <w:rFonts w:eastAsia="宋体" w:hint="eastAsia"/>
          <w:sz w:val="24"/>
          <w:szCs w:val="24"/>
          <w:lang w:val="ru-RU" w:eastAsia="zh-CN"/>
        </w:rPr>
      </w:pPr>
      <w:r w:rsidRPr="00A47E79">
        <w:rPr>
          <w:sz w:val="24"/>
          <w:szCs w:val="24"/>
          <w:lang w:val="ru-RU"/>
        </w:rPr>
        <w:t>[</w:t>
      </w:r>
      <w:r w:rsidR="00A47E79">
        <w:rPr>
          <w:rFonts w:eastAsia="宋体" w:hint="eastAsia"/>
          <w:sz w:val="24"/>
          <w:szCs w:val="24"/>
          <w:lang w:val="ru-RU" w:eastAsia="zh-CN"/>
        </w:rPr>
        <w:t>2</w:t>
      </w:r>
      <w:r w:rsidRPr="00A47E79">
        <w:rPr>
          <w:sz w:val="24"/>
          <w:szCs w:val="24"/>
          <w:lang w:val="ru-RU"/>
        </w:rPr>
        <w:t>] Витгенштейн Л. Философские работы: в 2 ч. М.: Гнозис, 1994. Ч. 1.</w:t>
      </w:r>
      <w:r w:rsidR="00A47E79">
        <w:rPr>
          <w:rFonts w:eastAsia="宋体" w:hint="eastAsia"/>
          <w:sz w:val="24"/>
          <w:szCs w:val="24"/>
          <w:lang w:val="ru-RU" w:eastAsia="zh-CN"/>
        </w:rPr>
        <w:t xml:space="preserve"> 544 </w:t>
      </w:r>
      <w:r w:rsidR="00A47E79">
        <w:rPr>
          <w:rFonts w:eastAsia="宋体"/>
          <w:sz w:val="24"/>
          <w:szCs w:val="24"/>
          <w:lang w:val="ru-RU" w:eastAsia="zh-CN"/>
        </w:rPr>
        <w:t>с.</w:t>
      </w:r>
    </w:p>
    <w:p w14:paraId="1DEDE295" w14:textId="03320B8C" w:rsidR="00E174A8" w:rsidRPr="00A47E79" w:rsidRDefault="00000000" w:rsidP="00B76964">
      <w:pPr>
        <w:spacing w:after="0" w:line="240" w:lineRule="auto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[</w:t>
      </w:r>
      <w:r w:rsidR="00A47E79">
        <w:rPr>
          <w:rFonts w:eastAsia="宋体" w:hint="eastAsia"/>
          <w:sz w:val="24"/>
          <w:szCs w:val="24"/>
          <w:lang w:val="ru-RU" w:eastAsia="zh-CN"/>
        </w:rPr>
        <w:t>3</w:t>
      </w:r>
      <w:r w:rsidRPr="00A47E79">
        <w:rPr>
          <w:sz w:val="24"/>
          <w:szCs w:val="24"/>
          <w:lang w:val="ru-RU"/>
        </w:rPr>
        <w:t xml:space="preserve">] И цзин (Канон перемен) / пер. и примеч. А. Е. Лукьянова. М.: ИПЦ «Маска»; Чэнду: Сычуань </w:t>
      </w:r>
      <w:proofErr w:type="spellStart"/>
      <w:r w:rsidRPr="00A47E79">
        <w:rPr>
          <w:sz w:val="24"/>
          <w:szCs w:val="24"/>
          <w:lang w:val="ru-RU"/>
        </w:rPr>
        <w:t>жэньминь</w:t>
      </w:r>
      <w:proofErr w:type="spellEnd"/>
      <w:r w:rsidRPr="00A47E79">
        <w:rPr>
          <w:sz w:val="24"/>
          <w:szCs w:val="24"/>
          <w:lang w:val="ru-RU"/>
        </w:rPr>
        <w:t xml:space="preserve"> </w:t>
      </w:r>
      <w:proofErr w:type="spellStart"/>
      <w:r w:rsidRPr="00A47E79">
        <w:rPr>
          <w:sz w:val="24"/>
          <w:szCs w:val="24"/>
          <w:lang w:val="ru-RU"/>
        </w:rPr>
        <w:t>чубаньшэ</w:t>
      </w:r>
      <w:proofErr w:type="spellEnd"/>
      <w:r w:rsidRPr="00A47E79">
        <w:rPr>
          <w:sz w:val="24"/>
          <w:szCs w:val="24"/>
          <w:lang w:val="ru-RU"/>
        </w:rPr>
        <w:t>, 2018.</w:t>
      </w:r>
      <w:r w:rsidR="00A47E79">
        <w:rPr>
          <w:sz w:val="24"/>
          <w:szCs w:val="24"/>
          <w:lang w:val="ru-RU"/>
        </w:rPr>
        <w:t xml:space="preserve"> </w:t>
      </w:r>
      <w:r w:rsidR="00A47E79" w:rsidRPr="00A47E79">
        <w:rPr>
          <w:sz w:val="24"/>
          <w:szCs w:val="24"/>
        </w:rPr>
        <w:t>390 с.</w:t>
      </w:r>
    </w:p>
    <w:p w14:paraId="4A1A38C2" w14:textId="4002FC64" w:rsidR="00E174A8" w:rsidRPr="00A47E79" w:rsidRDefault="00000000" w:rsidP="00B76964">
      <w:pPr>
        <w:spacing w:after="0" w:line="240" w:lineRule="auto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[</w:t>
      </w:r>
      <w:r w:rsidR="00A47E79">
        <w:rPr>
          <w:rFonts w:eastAsia="宋体" w:hint="eastAsia"/>
          <w:sz w:val="24"/>
          <w:szCs w:val="24"/>
          <w:lang w:val="ru-RU" w:eastAsia="zh-CN"/>
        </w:rPr>
        <w:t>4</w:t>
      </w:r>
      <w:r w:rsidRPr="00A47E79">
        <w:rPr>
          <w:sz w:val="24"/>
          <w:szCs w:val="24"/>
          <w:lang w:val="ru-RU"/>
        </w:rPr>
        <w:t>] Копии статей, отправленных Мэй-Лань-фану, переписка и отчёты о пребывании доктора Мэй-Лань-фана в СССР // Государственный архив Российской Федерации (ГА РФ). Ф. Р5283. Оп. 4. Д. 168. Л. 1–67.</w:t>
      </w:r>
    </w:p>
    <w:p w14:paraId="6B004104" w14:textId="2863420E" w:rsidR="00E174A8" w:rsidRPr="00A47E79" w:rsidRDefault="00000000" w:rsidP="00B76964">
      <w:pPr>
        <w:spacing w:after="0" w:line="240" w:lineRule="auto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[</w:t>
      </w:r>
      <w:r w:rsidR="00A47E79">
        <w:rPr>
          <w:rFonts w:eastAsia="宋体" w:hint="eastAsia"/>
          <w:sz w:val="24"/>
          <w:szCs w:val="24"/>
          <w:lang w:val="ru-RU" w:eastAsia="zh-CN"/>
        </w:rPr>
        <w:t>5</w:t>
      </w:r>
      <w:r w:rsidRPr="00A47E79">
        <w:rPr>
          <w:sz w:val="24"/>
          <w:szCs w:val="24"/>
          <w:lang w:val="ru-RU"/>
        </w:rPr>
        <w:t xml:space="preserve">] Лободанов А. П. Семиотика искусства: история и онтология. М.: Изд-во </w:t>
      </w:r>
      <w:proofErr w:type="spellStart"/>
      <w:r w:rsidRPr="00A47E79">
        <w:rPr>
          <w:sz w:val="24"/>
          <w:szCs w:val="24"/>
          <w:lang w:val="ru-RU"/>
        </w:rPr>
        <w:t>Моск</w:t>
      </w:r>
      <w:proofErr w:type="spellEnd"/>
      <w:r w:rsidRPr="00A47E79">
        <w:rPr>
          <w:sz w:val="24"/>
          <w:szCs w:val="24"/>
          <w:lang w:val="ru-RU"/>
        </w:rPr>
        <w:t>. ун-та, 2013.</w:t>
      </w:r>
      <w:r w:rsidR="00A47E79">
        <w:rPr>
          <w:sz w:val="24"/>
          <w:szCs w:val="24"/>
          <w:lang w:val="ru-RU"/>
        </w:rPr>
        <w:t xml:space="preserve"> 680 с.</w:t>
      </w:r>
    </w:p>
    <w:p w14:paraId="03CB2ECB" w14:textId="53ACD6DE" w:rsidR="00E174A8" w:rsidRPr="00A47E79" w:rsidRDefault="00000000" w:rsidP="00B76964">
      <w:pPr>
        <w:spacing w:after="0" w:line="240" w:lineRule="auto"/>
        <w:jc w:val="both"/>
        <w:rPr>
          <w:sz w:val="24"/>
          <w:szCs w:val="24"/>
          <w:lang w:val="ru-RU"/>
        </w:rPr>
      </w:pPr>
      <w:r w:rsidRPr="00A47E79">
        <w:rPr>
          <w:sz w:val="24"/>
          <w:szCs w:val="24"/>
          <w:lang w:val="ru-RU"/>
        </w:rPr>
        <w:t>[</w:t>
      </w:r>
      <w:r w:rsidR="00A47E79">
        <w:rPr>
          <w:rFonts w:eastAsia="宋体" w:hint="eastAsia"/>
          <w:sz w:val="24"/>
          <w:szCs w:val="24"/>
          <w:lang w:val="ru-RU" w:eastAsia="zh-CN"/>
        </w:rPr>
        <w:t>6</w:t>
      </w:r>
      <w:r w:rsidRPr="00A47E79">
        <w:rPr>
          <w:sz w:val="24"/>
          <w:szCs w:val="24"/>
          <w:lang w:val="ru-RU"/>
        </w:rPr>
        <w:t xml:space="preserve">] Мейерхольд В. Э., Бебутов В. М., </w:t>
      </w:r>
      <w:proofErr w:type="spellStart"/>
      <w:r w:rsidRPr="00A47E79">
        <w:rPr>
          <w:sz w:val="24"/>
          <w:szCs w:val="24"/>
          <w:lang w:val="ru-RU"/>
        </w:rPr>
        <w:t>Аксенов</w:t>
      </w:r>
      <w:proofErr w:type="spellEnd"/>
      <w:r w:rsidRPr="00A47E79">
        <w:rPr>
          <w:sz w:val="24"/>
          <w:szCs w:val="24"/>
          <w:lang w:val="ru-RU"/>
        </w:rPr>
        <w:t xml:space="preserve"> И. А. Амплуа </w:t>
      </w:r>
      <w:proofErr w:type="spellStart"/>
      <w:r w:rsidRPr="00A47E79">
        <w:rPr>
          <w:sz w:val="24"/>
          <w:szCs w:val="24"/>
          <w:lang w:val="ru-RU"/>
        </w:rPr>
        <w:t>актера</w:t>
      </w:r>
      <w:proofErr w:type="spellEnd"/>
      <w:r w:rsidRPr="00A47E79">
        <w:rPr>
          <w:sz w:val="24"/>
          <w:szCs w:val="24"/>
          <w:lang w:val="ru-RU"/>
        </w:rPr>
        <w:t>. М.: ГВЫРМ, 1922.</w:t>
      </w:r>
      <w:r w:rsidR="00A47E79">
        <w:rPr>
          <w:sz w:val="24"/>
          <w:szCs w:val="24"/>
          <w:lang w:val="ru-RU"/>
        </w:rPr>
        <w:t xml:space="preserve"> 14 с.</w:t>
      </w:r>
    </w:p>
    <w:p w14:paraId="02F937DC" w14:textId="620A9C1D" w:rsidR="00A47E79" w:rsidRPr="00A47E79" w:rsidRDefault="00000000" w:rsidP="00B76964">
      <w:pPr>
        <w:spacing w:after="0" w:line="240" w:lineRule="auto"/>
        <w:jc w:val="both"/>
        <w:rPr>
          <w:rFonts w:eastAsia="宋体" w:hint="eastAsia"/>
          <w:sz w:val="24"/>
          <w:szCs w:val="24"/>
          <w:lang w:val="ru-RU" w:eastAsia="zh-CN"/>
        </w:rPr>
      </w:pPr>
      <w:r w:rsidRPr="00A47E79">
        <w:rPr>
          <w:sz w:val="24"/>
          <w:szCs w:val="24"/>
          <w:lang w:val="ru-RU"/>
        </w:rPr>
        <w:t>[</w:t>
      </w:r>
      <w:r w:rsidR="00A47E79">
        <w:rPr>
          <w:rFonts w:eastAsia="宋体" w:hint="eastAsia"/>
          <w:sz w:val="24"/>
          <w:szCs w:val="24"/>
          <w:lang w:val="ru-RU" w:eastAsia="zh-CN"/>
        </w:rPr>
        <w:t>7</w:t>
      </w:r>
      <w:r w:rsidRPr="00A47E79">
        <w:rPr>
          <w:sz w:val="24"/>
          <w:szCs w:val="24"/>
          <w:lang w:val="ru-RU"/>
        </w:rPr>
        <w:t xml:space="preserve">] </w:t>
      </w:r>
      <w:proofErr w:type="spellStart"/>
      <w:r w:rsidRPr="00A47E79">
        <w:rPr>
          <w:sz w:val="24"/>
          <w:szCs w:val="24"/>
          <w:lang w:val="ru-RU"/>
        </w:rPr>
        <w:t>Ряпосов</w:t>
      </w:r>
      <w:proofErr w:type="spellEnd"/>
      <w:r w:rsidRPr="00A47E79">
        <w:rPr>
          <w:sz w:val="24"/>
          <w:szCs w:val="24"/>
          <w:lang w:val="ru-RU"/>
        </w:rPr>
        <w:t xml:space="preserve"> А. Ю. Режиссёрская методология Мейерхольда. Брошюра «Амплуа актёра»: структура, содержание, смысл. СПб.: </w:t>
      </w:r>
      <w:proofErr w:type="spellStart"/>
      <w:r w:rsidRPr="00A47E79">
        <w:rPr>
          <w:sz w:val="24"/>
          <w:szCs w:val="24"/>
          <w:lang w:val="ru-RU"/>
        </w:rPr>
        <w:t>Астерион</w:t>
      </w:r>
      <w:proofErr w:type="spellEnd"/>
      <w:r w:rsidRPr="00A47E79">
        <w:rPr>
          <w:sz w:val="24"/>
          <w:szCs w:val="24"/>
          <w:lang w:val="ru-RU"/>
        </w:rPr>
        <w:t>, 2019.</w:t>
      </w:r>
      <w:r w:rsidR="00A47E79">
        <w:rPr>
          <w:sz w:val="24"/>
          <w:szCs w:val="24"/>
          <w:lang w:val="ru-RU"/>
        </w:rPr>
        <w:t xml:space="preserve"> 101 с.</w:t>
      </w:r>
      <w:bookmarkEnd w:id="0"/>
    </w:p>
    <w:sectPr w:rsidR="00A47E79" w:rsidRPr="00A47E79" w:rsidSect="00B76964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7B49" w14:textId="77777777" w:rsidR="00CA2DE1" w:rsidRDefault="00CA2DE1" w:rsidP="00467F0F">
      <w:pPr>
        <w:spacing w:after="0" w:line="240" w:lineRule="auto"/>
      </w:pPr>
      <w:r>
        <w:separator/>
      </w:r>
    </w:p>
  </w:endnote>
  <w:endnote w:type="continuationSeparator" w:id="0">
    <w:p w14:paraId="73FAC614" w14:textId="77777777" w:rsidR="00CA2DE1" w:rsidRDefault="00CA2DE1" w:rsidP="0046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32EB" w14:textId="77777777" w:rsidR="00CA2DE1" w:rsidRDefault="00CA2DE1" w:rsidP="00467F0F">
      <w:pPr>
        <w:spacing w:after="0" w:line="240" w:lineRule="auto"/>
      </w:pPr>
      <w:r>
        <w:separator/>
      </w:r>
    </w:p>
  </w:footnote>
  <w:footnote w:type="continuationSeparator" w:id="0">
    <w:p w14:paraId="08023C3F" w14:textId="77777777" w:rsidR="00CA2DE1" w:rsidRDefault="00CA2DE1" w:rsidP="0046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067761">
    <w:abstractNumId w:val="8"/>
  </w:num>
  <w:num w:numId="2" w16cid:durableId="753211323">
    <w:abstractNumId w:val="6"/>
  </w:num>
  <w:num w:numId="3" w16cid:durableId="1854224730">
    <w:abstractNumId w:val="5"/>
  </w:num>
  <w:num w:numId="4" w16cid:durableId="1708793789">
    <w:abstractNumId w:val="4"/>
  </w:num>
  <w:num w:numId="5" w16cid:durableId="2111394024">
    <w:abstractNumId w:val="7"/>
  </w:num>
  <w:num w:numId="6" w16cid:durableId="1086878273">
    <w:abstractNumId w:val="3"/>
  </w:num>
  <w:num w:numId="7" w16cid:durableId="431976761">
    <w:abstractNumId w:val="2"/>
  </w:num>
  <w:num w:numId="8" w16cid:durableId="799618579">
    <w:abstractNumId w:val="1"/>
  </w:num>
  <w:num w:numId="9" w16cid:durableId="15635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7A7"/>
    <w:rsid w:val="00326F90"/>
    <w:rsid w:val="00467F0F"/>
    <w:rsid w:val="0057448A"/>
    <w:rsid w:val="00645B96"/>
    <w:rsid w:val="00697523"/>
    <w:rsid w:val="0073325A"/>
    <w:rsid w:val="00797E60"/>
    <w:rsid w:val="008F2011"/>
    <w:rsid w:val="00A47E79"/>
    <w:rsid w:val="00AA1D8D"/>
    <w:rsid w:val="00B47730"/>
    <w:rsid w:val="00B76964"/>
    <w:rsid w:val="00C53869"/>
    <w:rsid w:val="00CA2DE1"/>
    <w:rsid w:val="00CB0664"/>
    <w:rsid w:val="00E174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2FD28"/>
  <w14:defaultImageDpi w14:val="300"/>
  <w15:docId w15:val="{BFE8E93F-76D8-4A35-BC46-2C6C1533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Hyperlink"/>
    <w:basedOn w:val="a2"/>
    <w:uiPriority w:val="99"/>
    <w:unhideWhenUsed/>
    <w:rsid w:val="00B76964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B7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3991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Zhongxing</dc:creator>
  <cp:keywords/>
  <dc:description>generated by python-docx</dc:description>
  <cp:lastModifiedBy>Zhongxing Wang</cp:lastModifiedBy>
  <cp:revision>2</cp:revision>
  <dcterms:created xsi:type="dcterms:W3CDTF">2026-05-09T10:01:00Z</dcterms:created>
  <dcterms:modified xsi:type="dcterms:W3CDTF">2026-05-09T10:01:00Z</dcterms:modified>
  <cp:category/>
</cp:coreProperties>
</file>