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08290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/>
        <w:jc w:val="left"/>
        <w:textAlignment w:val="auto"/>
        <w:rPr>
          <w:rFonts w:hint="default" w:ascii="Times New Roman" w:hAnsi="Times New Roman" w:eastAsia="Times New Roman"/>
          <w:b/>
          <w:sz w:val="24"/>
          <w:szCs w:val="24"/>
          <w:lang w:val="ru-RU"/>
        </w:rPr>
      </w:pPr>
      <w:r>
        <w:rPr>
          <w:rFonts w:hint="default" w:ascii="Times New Roman" w:hAnsi="Times New Roman" w:eastAsia="Times New Roman"/>
          <w:b/>
          <w:sz w:val="24"/>
          <w:szCs w:val="24"/>
          <w:lang w:val="ru-RU"/>
        </w:rPr>
        <w:t>УДК</w:t>
      </w:r>
    </w:p>
    <w:p w14:paraId="3478BA5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/>
        <w:jc w:val="center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Структурная реконструкция художественной формы фресок Дуньхуана в современном дизайне</w:t>
      </w:r>
    </w:p>
    <w:p w14:paraId="0ADA569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tabs>
          <w:tab w:val="left" w:pos="7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76" w:lineRule="auto"/>
        <w:jc w:val="center"/>
        <w:textAlignment w:val="auto"/>
        <w:rPr>
          <w:rFonts w:hint="eastAsia" w:ascii="Times New Roman" w:hAnsi="Times New Roman" w:eastAsia="宋体" w:cs="Times New Roman"/>
          <w:b/>
          <w:bCs/>
          <w:i/>
          <w:iCs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i/>
          <w:iCs/>
          <w:color w:val="auto"/>
          <w:sz w:val="24"/>
          <w:szCs w:val="24"/>
        </w:rPr>
        <w:t>Тянь С</w:t>
      </w:r>
      <w:r>
        <w:rPr>
          <w:rFonts w:hint="eastAsia" w:eastAsia="宋体" w:cs="Times New Roman"/>
          <w:b/>
          <w:bCs/>
          <w:i/>
          <w:iCs/>
          <w:color w:val="auto"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cs="Times New Roman"/>
          <w:b/>
          <w:bCs/>
          <w:i/>
          <w:iCs/>
          <w:color w:val="auto"/>
          <w:sz w:val="24"/>
          <w:szCs w:val="24"/>
        </w:rPr>
        <w:t>С</w:t>
      </w:r>
      <w:r>
        <w:rPr>
          <w:rFonts w:hint="eastAsia" w:eastAsia="宋体" w:cs="Times New Roman"/>
          <w:b/>
          <w:bCs/>
          <w:i/>
          <w:iCs/>
          <w:color w:val="auto"/>
          <w:sz w:val="24"/>
          <w:szCs w:val="24"/>
          <w:lang w:val="en-US" w:eastAsia="zh-CN"/>
        </w:rPr>
        <w:t>.</w:t>
      </w:r>
    </w:p>
    <w:p w14:paraId="3D80EEE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firstLine="0"/>
        <w:jc w:val="center"/>
        <w:textAlignment w:val="auto"/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/>
          <w:i/>
          <w:iCs/>
          <w:sz w:val="24"/>
          <w:szCs w:val="24"/>
          <w:lang w:val="ru-RU"/>
        </w:rPr>
        <w:t>Санкт-Петербург, аспирант Федерального государственного бюджетного образовательного учреждения «Санкт-Петербургский государственный университет промышленных технологий и дизайна»</w:t>
      </w:r>
    </w:p>
    <w:p w14:paraId="4AC1211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tabs>
          <w:tab w:val="left" w:pos="72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276" w:lineRule="auto"/>
        <w:jc w:val="center"/>
        <w:textAlignment w:val="auto"/>
        <w:rPr>
          <w:rFonts w:hint="default" w:ascii="Times New Roman" w:hAnsi="Times New Roman" w:cs="Times New Roman"/>
          <w:b w:val="0"/>
          <w:bCs w:val="0"/>
          <w:i/>
          <w:iCs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i/>
          <w:iCs/>
          <w:color w:val="auto"/>
          <w:sz w:val="24"/>
          <w:szCs w:val="24"/>
        </w:rPr>
        <w:t xml:space="preserve">Санкт-Петербургский государственный университет промышленных технологий и дизайна </w:t>
      </w:r>
      <w:r>
        <w:rPr>
          <w:rFonts w:hint="eastAsia" w:ascii="Times New Roman" w:hAnsi="Times New Roman" w:eastAsia="宋体" w:cs="Times New Roman"/>
          <w:b w:val="0"/>
          <w:bCs w:val="0"/>
          <w:i/>
          <w:iCs/>
          <w:color w:val="auto"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cs="Times New Roman"/>
          <w:b w:val="0"/>
          <w:bCs w:val="0"/>
          <w:i/>
          <w:iCs/>
          <w:color w:val="auto"/>
          <w:sz w:val="24"/>
          <w:szCs w:val="24"/>
        </w:rPr>
        <w:t>191186, Санкт-Петербург, ул. Большая Морская, 18</w:t>
      </w:r>
    </w:p>
    <w:p w14:paraId="7EF529F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tabs>
          <w:tab w:val="left" w:pos="7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0"/>
        <w:jc w:val="center"/>
        <w:textAlignment w:val="auto"/>
        <w:rPr>
          <w:rFonts w:hint="default" w:ascii="Times New Roman" w:hAnsi="Times New Roman" w:eastAsia="宋体" w:cs="Times New Roman"/>
          <w:b w:val="0"/>
          <w:bCs w:val="0"/>
          <w:i/>
          <w:iCs/>
          <w:color w:val="auto"/>
          <w:sz w:val="24"/>
          <w:szCs w:val="24"/>
          <w:lang w:val="en-US" w:eastAsia="zh-CN"/>
        </w:rPr>
      </w:pPr>
      <w:r>
        <w:rPr>
          <w:rFonts w:hint="eastAsia" w:eastAsia="宋体" w:cs="Times New Roman"/>
          <w:b w:val="0"/>
          <w:bCs w:val="0"/>
          <w:i/>
          <w:iCs/>
          <w:color w:val="auto"/>
          <w:spacing w:val="0"/>
          <w:sz w:val="24"/>
          <w:szCs w:val="24"/>
          <w:shd w:val="clear" w:fill="FFFFFF"/>
          <w:lang w:val="en-US" w:eastAsia="zh-CN"/>
        </w:rPr>
        <w:t>t</w:t>
      </w:r>
      <w:r>
        <w:rPr>
          <w:rFonts w:hint="eastAsia" w:eastAsia="宋体" w:cs="Times New Roman"/>
          <w:b w:val="0"/>
          <w:bCs w:val="0"/>
          <w:i/>
          <w:iCs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xiaosongkk</w:t>
      </w:r>
      <w:r>
        <w:rPr>
          <w:rFonts w:hint="default" w:ascii="Times New Roman" w:hAnsi="Times New Roman" w:eastAsia="Arial" w:cs="Times New Roman"/>
          <w:b w:val="0"/>
          <w:bCs w:val="0"/>
          <w:i/>
          <w:iCs/>
          <w:caps w:val="0"/>
          <w:color w:val="auto"/>
          <w:spacing w:val="0"/>
          <w:sz w:val="24"/>
          <w:szCs w:val="24"/>
          <w:shd w:val="clear" w:fill="FFFFFF"/>
        </w:rPr>
        <w:t>@</w:t>
      </w:r>
      <w:r>
        <w:rPr>
          <w:rFonts w:hint="eastAsia" w:eastAsia="宋体" w:cs="Times New Roman"/>
          <w:b w:val="0"/>
          <w:bCs w:val="0"/>
          <w:i/>
          <w:iCs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gmail.com</w:t>
      </w:r>
    </w:p>
    <w:p w14:paraId="06C4B28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/>
        <w:jc w:val="center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4763E75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firstLine="397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eastAsia="Times New Roman"/>
          <w:b/>
          <w:bCs/>
          <w:i/>
          <w:sz w:val="24"/>
          <w:szCs w:val="24"/>
          <w:lang w:val="ru-RU"/>
        </w:rPr>
        <w:t>Аннотация</w:t>
      </w:r>
      <w:r>
        <w:rPr>
          <w:rFonts w:hint="default" w:ascii="Times New Roman" w:hAnsi="Times New Roman" w:eastAsia="Times New Roman" w:cs="Times New Roman"/>
          <w:b/>
          <w:bCs/>
          <w:i/>
          <w:sz w:val="24"/>
          <w:szCs w:val="24"/>
          <w:lang w:val="ru-RU"/>
        </w:rPr>
        <w:t>.</w:t>
      </w:r>
      <w:r>
        <w:rPr>
          <w:rFonts w:hint="default" w:ascii="Times New Roman" w:hAnsi="Times New Roman" w:eastAsia="Times New Roman" w:cs="Times New Roman"/>
          <w:i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/>
          <w:sz w:val="24"/>
          <w:szCs w:val="24"/>
        </w:rPr>
        <w:t>Р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ассматривается проблема структурной реконструкции художественных форм дуньхуанских настенных росписей в современном дизайне. Исследование направлено на теоретическое осмысление механизмов трансформации традиционного художественного наследия в условиях актуальной проектной культуры. Предлагается модель «культурно-символического перевода», основанная на принципах деконструкции, трансляции и повторной организации формы. Анализируются композиционная структура, линия, цветовая система и орнамент как ключевые элементы реконструкции, а также роль цифровых технологий и генеративного искусственного интеллекта в данном процессе. Делается вывод о том, что структурная реконструкция представляет собой не копирование, а переосмысление художественного кода, обеспечивающее сохранение культурной семантики при адаптации к современным визуальным стратегиям.</w:t>
      </w:r>
    </w:p>
    <w:p w14:paraId="07E1B4D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left="0" w:leftChars="0" w:firstLine="397" w:firstLineChars="0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Times New Roman" w:cs="Times New Roman"/>
          <w:b/>
          <w:bCs/>
          <w:i/>
          <w:sz w:val="24"/>
          <w:szCs w:val="24"/>
          <w:lang w:val="ru-RU"/>
        </w:rPr>
        <w:t>Ключевые слова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: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дуньхуанские росписи</w:t>
      </w:r>
      <w:r>
        <w:rPr>
          <w:rFonts w:hint="default" w:ascii="Times New Roman" w:hAnsi="Times New Roman" w:cs="Times New Roman"/>
          <w:i/>
          <w:sz w:val="24"/>
          <w:szCs w:val="24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структурная реконструкция</w:t>
      </w:r>
      <w:r>
        <w:rPr>
          <w:rFonts w:hint="default" w:ascii="Times New Roman" w:hAnsi="Times New Roman" w:cs="Times New Roman"/>
          <w:i/>
          <w:sz w:val="24"/>
          <w:szCs w:val="24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современный дизайн</w:t>
      </w:r>
      <w:r>
        <w:rPr>
          <w:rFonts w:hint="default" w:ascii="Times New Roman" w:hAnsi="Times New Roman" w:cs="Times New Roman"/>
          <w:i/>
          <w:sz w:val="24"/>
          <w:szCs w:val="24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культурная семиотика</w:t>
      </w:r>
      <w:r>
        <w:rPr>
          <w:rFonts w:hint="default" w:ascii="Times New Roman" w:hAnsi="Times New Roman" w:cs="Times New Roman"/>
          <w:i/>
          <w:sz w:val="24"/>
          <w:szCs w:val="24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цифровые технологии</w:t>
      </w:r>
    </w:p>
    <w:p w14:paraId="7D960BC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left="0" w:leftChars="0" w:firstLine="397" w:firstLineChars="0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7C07AF8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firstLine="397"/>
        <w:textAlignment w:val="auto"/>
        <w:rPr>
          <w:rFonts w:hint="default" w:ascii="Times New Roman" w:hAnsi="Times New Roman"/>
          <w:b/>
          <w:sz w:val="24"/>
          <w:szCs w:val="24"/>
          <w:lang w:val="ru-RU"/>
        </w:rPr>
      </w:pPr>
      <w:r>
        <w:rPr>
          <w:rFonts w:hint="default" w:ascii="Times New Roman" w:hAnsi="Times New Roman"/>
          <w:b/>
          <w:sz w:val="24"/>
          <w:szCs w:val="24"/>
          <w:lang w:val="ru-RU"/>
        </w:rPr>
        <w:t xml:space="preserve">Введение </w:t>
      </w:r>
    </w:p>
    <w:p w14:paraId="5B91082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firstLine="397"/>
        <w:textAlignment w:val="auto"/>
        <w:rPr>
          <w:rFonts w:hint="default" w:ascii="Times New Roman" w:hAnsi="Times New Roman"/>
          <w:b w:val="0"/>
          <w:bCs/>
          <w:sz w:val="24"/>
          <w:szCs w:val="24"/>
          <w:lang w:val="ru-RU"/>
        </w:rPr>
      </w:pPr>
      <w:r>
        <w:rPr>
          <w:rFonts w:hint="default" w:ascii="Times New Roman" w:hAnsi="Times New Roman"/>
          <w:b w:val="0"/>
          <w:bCs/>
          <w:sz w:val="24"/>
          <w:szCs w:val="24"/>
          <w:lang w:val="ru-RU"/>
        </w:rPr>
        <w:t>Дуньхуанские настенные росписи являются одним из наиболее значимых памятников художественной культуры Восточной Азии. Их формирование связано с многовековым развитием буддийского искусства и интенсивными межкультурными контактами на Шёлковом пути</w:t>
      </w:r>
      <w:r>
        <w:rPr>
          <w:rFonts w:hint="eastAsia" w:eastAsia="宋体"/>
          <w:b w:val="0"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/>
          <w:b w:val="0"/>
          <w:bCs/>
          <w:sz w:val="24"/>
          <w:szCs w:val="24"/>
          <w:lang w:val="ru-RU"/>
        </w:rPr>
        <w:t>[1]. Композиционные схемы, линейная пластика, система цветовых сочетаний и орнаментальные структуры образуют сложный художественный организм, в котором сочетаются религиозная символика, эстетическая традиция и региональные художественные влияния.</w:t>
      </w:r>
    </w:p>
    <w:p w14:paraId="25F5E54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firstLine="397"/>
        <w:textAlignment w:val="auto"/>
        <w:rPr>
          <w:rFonts w:hint="default" w:ascii="Times New Roman" w:hAnsi="Times New Roman"/>
          <w:b w:val="0"/>
          <w:bCs/>
          <w:sz w:val="24"/>
          <w:szCs w:val="24"/>
          <w:lang w:val="ru-RU"/>
        </w:rPr>
      </w:pPr>
      <w:r>
        <w:rPr>
          <w:rFonts w:hint="default" w:ascii="Times New Roman" w:hAnsi="Times New Roman"/>
          <w:b w:val="0"/>
          <w:bCs/>
          <w:sz w:val="24"/>
          <w:szCs w:val="24"/>
          <w:lang w:val="ru-RU"/>
        </w:rPr>
        <w:t>В условиях XXI века интерес к дуньхуанскому наследию выходит за рамки историко-художественного анализа и всё чаще проявляется в сфере современного дизайна. Глобализация визуальной культуры и рост внимания к национальной идентичности актуализируют проблему творческой адаптации традиционных художественных форм. Однако в большинстве практик использование дуньхуанских мотивов ограничивается поверхностным цитированием отдельных элементов — орнаментов, цветовых сочетаний или иконографических образов. Подобный подход не затрагивает глубинную структурную организацию произведения и не обеспечивает полноценной интеграции культурного смысла в современный проектный контекст.</w:t>
      </w:r>
    </w:p>
    <w:p w14:paraId="2640B4E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firstLine="397"/>
        <w:textAlignment w:val="auto"/>
        <w:rPr>
          <w:rFonts w:hint="default" w:ascii="Times New Roman" w:hAnsi="Times New Roman"/>
          <w:b w:val="0"/>
          <w:bCs/>
          <w:sz w:val="24"/>
          <w:szCs w:val="24"/>
          <w:lang w:val="ru-RU"/>
        </w:rPr>
      </w:pPr>
      <w:r>
        <w:rPr>
          <w:rFonts w:hint="default" w:ascii="Times New Roman" w:hAnsi="Times New Roman"/>
          <w:b w:val="0"/>
          <w:bCs/>
          <w:sz w:val="24"/>
          <w:szCs w:val="24"/>
          <w:lang w:val="ru-RU"/>
        </w:rPr>
        <w:t>В этой связи возникает необходимость теоретического осмысления процесса, который можно обозначить как структурную реконструкцию художественной формы. Под структурой в данном исследовании понимается совокупность композиционных, пластических и семантических связей, формирующих целостность произведения. Реконструкция трактуется не как реставрация или буквальное воспроизведение, а как аналитическое преобразование, предполагающее выявление внутренних закономерностей и их перенос в иную культурную и технологическую среду.</w:t>
      </w:r>
    </w:p>
    <w:p w14:paraId="62B9F66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firstLine="397"/>
        <w:textAlignment w:val="auto"/>
        <w:rPr>
          <w:rFonts w:hint="default" w:ascii="Times New Roman" w:hAnsi="Times New Roman"/>
          <w:b w:val="0"/>
          <w:bCs/>
          <w:sz w:val="24"/>
          <w:szCs w:val="24"/>
          <w:lang w:val="ru-RU"/>
        </w:rPr>
      </w:pPr>
      <w:r>
        <w:rPr>
          <w:rFonts w:hint="default" w:ascii="Times New Roman" w:hAnsi="Times New Roman"/>
          <w:b w:val="0"/>
          <w:bCs/>
          <w:sz w:val="24"/>
          <w:szCs w:val="24"/>
          <w:lang w:val="ru-RU"/>
        </w:rPr>
        <w:t>Особое значение в этом процессе приобретает семиотический подход. Дуньхуанская роспись функционирует как система художественных знаков, в которой каждый элемент — линия, цвет, фигура, орнамент — выступает носителем определённого культурного значения</w:t>
      </w:r>
      <w:r>
        <w:rPr>
          <w:rFonts w:hint="eastAsia" w:eastAsia="宋体"/>
          <w:b w:val="0"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/>
          <w:b w:val="0"/>
          <w:bCs/>
          <w:sz w:val="24"/>
          <w:szCs w:val="24"/>
          <w:lang w:val="ru-RU"/>
        </w:rPr>
        <w:t>[</w:t>
      </w:r>
      <w:r>
        <w:rPr>
          <w:rFonts w:hint="eastAsia" w:eastAsia="宋体"/>
          <w:b w:val="0"/>
          <w:bCs/>
          <w:sz w:val="24"/>
          <w:szCs w:val="24"/>
          <w:lang w:val="en-US" w:eastAsia="zh-CN"/>
        </w:rPr>
        <w:t>2-3</w:t>
      </w:r>
      <w:r>
        <w:rPr>
          <w:rFonts w:hint="default" w:ascii="Times New Roman" w:hAnsi="Times New Roman"/>
          <w:b w:val="0"/>
          <w:bCs/>
          <w:sz w:val="24"/>
          <w:szCs w:val="24"/>
          <w:lang w:val="ru-RU"/>
        </w:rPr>
        <w:t>]</w:t>
      </w:r>
      <w:r>
        <w:rPr>
          <w:rFonts w:hint="default" w:ascii="Times New Roman" w:hAnsi="Times New Roman"/>
          <w:b w:val="0"/>
          <w:bCs/>
          <w:sz w:val="24"/>
          <w:szCs w:val="24"/>
          <w:lang w:val="ru-RU"/>
        </w:rPr>
        <w:t>. Перевод этих знаков в язык современного дизайна связан с изменением контекста восприятия и, следовательно, с трансформацией их семантики. Структурная реконструкция предполагает сохранение ядра символического содержания при изменении формальной оболочки.</w:t>
      </w:r>
    </w:p>
    <w:p w14:paraId="7F6271C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firstLine="397"/>
        <w:textAlignment w:val="auto"/>
        <w:rPr>
          <w:rFonts w:hint="default" w:ascii="Times New Roman" w:hAnsi="Times New Roman"/>
          <w:b w:val="0"/>
          <w:bCs/>
          <w:sz w:val="24"/>
          <w:szCs w:val="24"/>
          <w:lang w:val="ru-RU"/>
        </w:rPr>
      </w:pPr>
      <w:r>
        <w:rPr>
          <w:rFonts w:hint="default" w:ascii="Times New Roman" w:hAnsi="Times New Roman"/>
          <w:b w:val="0"/>
          <w:bCs/>
          <w:sz w:val="24"/>
          <w:szCs w:val="24"/>
          <w:lang w:val="ru-RU"/>
        </w:rPr>
        <w:t>Наряду с теоретическими аспектами важную роль играют цифровые технологии. Развитие методов визуального анализа, алгоритмического моделирования и генеративного искусственного интеллекта создаёт новые инструменты для декомпозиции и повторной сборки художественных структур. Цифровая среда позволяет выявлять закономерности композиции и цвета, моделировать альтернативные варианты организации формы и тем самым расширять возможности интерпретации традиционного наследия</w:t>
      </w:r>
      <w:r>
        <w:rPr>
          <w:rFonts w:hint="default" w:ascii="Times New Roman" w:hAnsi="Times New Roman"/>
          <w:b w:val="0"/>
          <w:bCs/>
          <w:sz w:val="24"/>
          <w:szCs w:val="24"/>
          <w:lang w:val="ru-RU"/>
        </w:rPr>
        <w:t>[</w:t>
      </w:r>
      <w:r>
        <w:rPr>
          <w:rFonts w:hint="eastAsia" w:eastAsia="宋体"/>
          <w:b w:val="0"/>
          <w:bCs/>
          <w:sz w:val="24"/>
          <w:szCs w:val="24"/>
          <w:lang w:val="en-US" w:eastAsia="zh-CN"/>
        </w:rPr>
        <w:t>4-6</w:t>
      </w:r>
      <w:r>
        <w:rPr>
          <w:rFonts w:hint="default" w:ascii="Times New Roman" w:hAnsi="Times New Roman"/>
          <w:b w:val="0"/>
          <w:bCs/>
          <w:sz w:val="24"/>
          <w:szCs w:val="24"/>
          <w:lang w:val="ru-RU"/>
        </w:rPr>
        <w:t>]</w:t>
      </w:r>
      <w:r>
        <w:rPr>
          <w:rFonts w:hint="default" w:ascii="Times New Roman" w:hAnsi="Times New Roman"/>
          <w:b w:val="0"/>
          <w:bCs/>
          <w:sz w:val="24"/>
          <w:szCs w:val="24"/>
          <w:lang w:val="ru-RU"/>
        </w:rPr>
        <w:t>.</w:t>
      </w:r>
    </w:p>
    <w:p w14:paraId="6F9A992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firstLine="397"/>
        <w:textAlignment w:val="auto"/>
        <w:rPr>
          <w:rFonts w:hint="default" w:ascii="Times New Roman" w:hAnsi="Times New Roman"/>
          <w:b w:val="0"/>
          <w:bCs/>
          <w:sz w:val="24"/>
          <w:szCs w:val="24"/>
          <w:lang w:val="ru-RU"/>
        </w:rPr>
      </w:pPr>
      <w:r>
        <w:rPr>
          <w:rFonts w:hint="default" w:ascii="Times New Roman" w:hAnsi="Times New Roman"/>
          <w:b w:val="0"/>
          <w:bCs/>
          <w:sz w:val="24"/>
          <w:szCs w:val="24"/>
          <w:lang w:val="ru-RU"/>
        </w:rPr>
        <w:t>Таким образом, проблема структурной реконструкции дуньхуанских росписей в современном дизайне выходит за пределы прикладной стилизации и приобретает статус теоретической задачи искусствоведения. Её решение предполагает объединение методов формального анализа, культурной семиотики и проектной практики. Настоящее исследование направлено на формирование концептуальной модели такого преобразования и на определение принципов, обеспечивающих сохранение художественной идентичности при её актуализации в современной визуальной культуре.</w:t>
      </w:r>
    </w:p>
    <w:p w14:paraId="1DA40B9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firstLine="397"/>
        <w:textAlignment w:val="auto"/>
        <w:rPr>
          <w:rFonts w:hint="default" w:ascii="Times New Roman" w:hAnsi="Times New Roman"/>
          <w:b/>
          <w:sz w:val="24"/>
          <w:szCs w:val="24"/>
          <w:lang w:val="ru-RU"/>
        </w:rPr>
      </w:pPr>
    </w:p>
    <w:p w14:paraId="3527D39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firstLine="397"/>
        <w:textAlignment w:val="auto"/>
        <w:rPr>
          <w:rFonts w:hint="default" w:ascii="Times New Roman" w:hAnsi="Times New Roman"/>
          <w:b/>
          <w:sz w:val="24"/>
          <w:szCs w:val="24"/>
          <w:lang w:val="ru-RU"/>
        </w:rPr>
      </w:pPr>
      <w:r>
        <w:rPr>
          <w:rFonts w:hint="default" w:ascii="Times New Roman" w:hAnsi="Times New Roman"/>
          <w:b/>
          <w:sz w:val="24"/>
          <w:szCs w:val="24"/>
          <w:lang w:val="ru-RU"/>
        </w:rPr>
        <w:t>Выводы</w:t>
      </w:r>
    </w:p>
    <w:p w14:paraId="5704615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firstLine="397"/>
        <w:textAlignment w:val="auto"/>
        <w:rPr>
          <w:rFonts w:hint="default" w:ascii="Times New Roman" w:hAnsi="Times New Roman"/>
          <w:b w:val="0"/>
          <w:bCs/>
          <w:sz w:val="24"/>
          <w:szCs w:val="24"/>
          <w:lang w:val="ru-RU"/>
        </w:rPr>
      </w:pPr>
      <w:r>
        <w:rPr>
          <w:rFonts w:hint="default" w:ascii="Times New Roman" w:hAnsi="Times New Roman"/>
          <w:b w:val="0"/>
          <w:bCs/>
          <w:sz w:val="24"/>
          <w:szCs w:val="24"/>
          <w:lang w:val="ru-RU"/>
        </w:rPr>
        <w:t>Проведённый анализ позволяет по-новому взглянуть на проблему использования дуньхуанских росписей в современном дизайне. Прежде всего, стало очевидно, что их художественная ценность заключается не в отдельных декоративных мотивах, а в целостной структурной организации. Композиция, ритм, цветовая система и пластика линии образуют взаимосвязанное единство, в котором форма и смысл существуют как неразделимый комплекс.</w:t>
      </w:r>
    </w:p>
    <w:p w14:paraId="519F602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firstLine="397"/>
        <w:textAlignment w:val="auto"/>
        <w:rPr>
          <w:rFonts w:hint="default" w:ascii="Times New Roman" w:hAnsi="Times New Roman"/>
          <w:b w:val="0"/>
          <w:bCs/>
          <w:sz w:val="24"/>
          <w:szCs w:val="24"/>
          <w:lang w:val="ru-RU"/>
        </w:rPr>
      </w:pPr>
      <w:r>
        <w:rPr>
          <w:rFonts w:hint="default" w:ascii="Times New Roman" w:hAnsi="Times New Roman"/>
          <w:b w:val="0"/>
          <w:bCs/>
          <w:sz w:val="24"/>
          <w:szCs w:val="24"/>
          <w:lang w:val="ru-RU"/>
        </w:rPr>
        <w:t>Современная проектная практика нередко ограничивается внешним заимствованием отдельных элементов, что приводит к утрате глубинного культурного содержания. В подобных случаях художественный знак превращается в декоративный фрагмент, лишённый своей первоначальной семантики. Это подтверждает необходимость перехода от стилизации к более аналитическому подходу.</w:t>
      </w:r>
    </w:p>
    <w:p w14:paraId="1FF45A7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firstLine="397"/>
        <w:textAlignment w:val="auto"/>
        <w:rPr>
          <w:rFonts w:hint="default" w:ascii="Times New Roman" w:hAnsi="Times New Roman"/>
          <w:b w:val="0"/>
          <w:bCs/>
          <w:sz w:val="24"/>
          <w:szCs w:val="24"/>
          <w:lang w:val="ru-RU"/>
        </w:rPr>
      </w:pPr>
      <w:r>
        <w:rPr>
          <w:rFonts w:hint="default" w:ascii="Times New Roman" w:hAnsi="Times New Roman"/>
          <w:b w:val="0"/>
          <w:bCs/>
          <w:sz w:val="24"/>
          <w:szCs w:val="24"/>
          <w:lang w:val="ru-RU"/>
        </w:rPr>
        <w:t>Структурная реконструкция в данном контексте понимается как осмысленный процесс выявления внутренних закономерностей произведения и их адаптации к новой визуальной среде. Речь идёт не о копировании исторической формы, а о её интерпретации, при которой сохраняется символическое ядро и одновременно создаётся актуальное художественное решение.</w:t>
      </w:r>
    </w:p>
    <w:p w14:paraId="0CAC0BB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firstLine="397"/>
        <w:textAlignment w:val="auto"/>
        <w:rPr>
          <w:rFonts w:hint="default" w:ascii="Times New Roman" w:hAnsi="Times New Roman"/>
          <w:b w:val="0"/>
          <w:bCs/>
          <w:sz w:val="24"/>
          <w:szCs w:val="24"/>
          <w:lang w:val="ru-RU"/>
        </w:rPr>
      </w:pPr>
      <w:r>
        <w:rPr>
          <w:rFonts w:hint="default" w:ascii="Times New Roman" w:hAnsi="Times New Roman"/>
          <w:b w:val="0"/>
          <w:bCs/>
          <w:sz w:val="24"/>
          <w:szCs w:val="24"/>
          <w:lang w:val="ru-RU"/>
        </w:rPr>
        <w:t>Семиотический подход позволяет рассматривать дуньхуанские росписи как систему знаков, функционирующих в определённом культурно-историческом пространстве. Перенос этих знаков в современный дизайн неизбежно меняет условия их восприятия, а значит, и их значение. Поэтому задача художника или дизайнера состоит в том, чтобы обеспечить содержательную преемственность, а не только визуальное сходство.</w:t>
      </w:r>
    </w:p>
    <w:p w14:paraId="4C272C4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firstLine="397"/>
        <w:textAlignment w:val="auto"/>
        <w:rPr>
          <w:rFonts w:hint="default" w:ascii="Times New Roman" w:hAnsi="Times New Roman"/>
          <w:b w:val="0"/>
          <w:bCs/>
          <w:sz w:val="24"/>
          <w:szCs w:val="24"/>
          <w:lang w:val="ru-RU"/>
        </w:rPr>
      </w:pPr>
      <w:r>
        <w:rPr>
          <w:rFonts w:hint="default" w:ascii="Times New Roman" w:hAnsi="Times New Roman"/>
          <w:b w:val="0"/>
          <w:bCs/>
          <w:sz w:val="24"/>
          <w:szCs w:val="24"/>
          <w:lang w:val="ru-RU"/>
        </w:rPr>
        <w:t>Особую роль в этом процессе играют цифровые технологии. Они расширяют возможности анализа и моделирования художественной структуры, создавая новые инструменты для реконструкции и интерпретации традиционного наследия.</w:t>
      </w:r>
    </w:p>
    <w:p w14:paraId="08FECC4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firstLine="397"/>
        <w:textAlignment w:val="auto"/>
        <w:rPr>
          <w:rFonts w:hint="default" w:ascii="Times New Roman" w:hAnsi="Times New Roman"/>
          <w:b w:val="0"/>
          <w:bCs/>
          <w:sz w:val="24"/>
          <w:szCs w:val="24"/>
          <w:lang w:val="ru-RU"/>
        </w:rPr>
      </w:pPr>
      <w:r>
        <w:rPr>
          <w:rFonts w:hint="default" w:ascii="Times New Roman" w:hAnsi="Times New Roman"/>
          <w:b w:val="0"/>
          <w:bCs/>
          <w:sz w:val="24"/>
          <w:szCs w:val="24"/>
          <w:lang w:val="ru-RU"/>
        </w:rPr>
        <w:t>Таким образом, структурная реконструкция дуньхуанских росписей может рассматриваться как форма культурного диалога между прошлым и настоящим. Она позволяет сохранить художественную идентичность традиции и одновременно интегрировать её в пространство современной визуальной культуры, что придаёт данной проблематике не только практическое, но и теоретическое значение для современного искусствоведения.</w:t>
      </w:r>
    </w:p>
    <w:p w14:paraId="5BBDDBF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firstLine="397"/>
        <w:textAlignment w:val="auto"/>
        <w:rPr>
          <w:rFonts w:hint="default" w:ascii="Times New Roman" w:hAnsi="Times New Roman"/>
          <w:b w:val="0"/>
          <w:bCs/>
          <w:sz w:val="24"/>
          <w:szCs w:val="24"/>
          <w:lang w:val="ru-RU"/>
        </w:rPr>
      </w:pPr>
    </w:p>
    <w:p w14:paraId="46A00CE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firstLine="397"/>
        <w:textAlignment w:val="auto"/>
        <w:rPr>
          <w:rFonts w:hint="default" w:ascii="Times New Roman" w:hAnsi="Times New Roman"/>
          <w:b/>
          <w:sz w:val="24"/>
          <w:szCs w:val="24"/>
          <w:lang w:val="ru-RU"/>
        </w:rPr>
      </w:pPr>
      <w:r>
        <w:rPr>
          <w:rFonts w:hint="default" w:ascii="Times New Roman" w:hAnsi="Times New Roman"/>
          <w:b/>
          <w:sz w:val="24"/>
          <w:szCs w:val="24"/>
          <w:lang w:val="ru-RU"/>
        </w:rPr>
        <w:t>Список источников</w:t>
      </w:r>
    </w:p>
    <w:p w14:paraId="6D04FD6E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firstLine="397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Agnew, N., Reed, M., &amp; Ball, T. (Eds.). (2016). </w:t>
      </w:r>
      <w:r>
        <w:rPr>
          <w:rFonts w:hint="default" w:ascii="Times New Roman" w:hAnsi="Times New Roman" w:eastAsia="宋体" w:cs="Times New Roman"/>
          <w:i/>
          <w:iCs/>
          <w:caps w:val="0"/>
          <w:color w:val="222222"/>
          <w:spacing w:val="0"/>
          <w:sz w:val="24"/>
          <w:szCs w:val="24"/>
          <w:shd w:val="clear" w:fill="FFFFFF"/>
        </w:rPr>
        <w:t>Cave temples of Dunhuang: Buddhist art on China's Silk road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. Getty Publications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HAnsi"/>
          <w:sz w:val="24"/>
          <w:szCs w:val="24"/>
        </w:rPr>
        <w:t>— 2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94</w:t>
      </w:r>
      <w:r>
        <w:rPr>
          <w:rFonts w:hint="default" w:ascii="Times New Roman" w:hAnsi="Times New Roman" w:cs="Times New Roman" w:eastAsiaTheme="minorHAnsi"/>
          <w:sz w:val="24"/>
          <w:szCs w:val="24"/>
        </w:rPr>
        <w:t xml:space="preserve"> с.— Текст: непосредственный</w:t>
      </w:r>
    </w:p>
    <w:p w14:paraId="2035EA2A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firstLine="397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  <w:t xml:space="preserve">Дэн Хунся. Плоскостно-композиционные особенности дуньхуанских фресок и их применение в современном дизайне 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  <w:t xml:space="preserve">/ Хунся Дэн </w:t>
      </w:r>
      <w:r>
        <w:rPr>
          <w:rFonts w:hint="default" w:ascii="Times New Roman" w:hAnsi="Times New Roman" w:cs="Times New Roman" w:eastAsiaTheme="minorHAnsi"/>
          <w:sz w:val="24"/>
          <w:szCs w:val="24"/>
        </w:rPr>
        <w:t>— Текст: непосредственный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  <w:t xml:space="preserve"> // Китайская упаковка. Ланьчжоу, 2015. № 2. С. 34–36.</w:t>
      </w:r>
    </w:p>
    <w:p w14:paraId="21FE2AAE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firstLine="397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default" w:ascii="Times New Roman" w:hAnsi="Times New Roman" w:eastAsia="Tahoma" w:cs="Times New Roman"/>
          <w:i w:val="0"/>
          <w:iCs w:val="0"/>
          <w:caps w:val="0"/>
          <w:color w:val="232323"/>
          <w:spacing w:val="0"/>
          <w:sz w:val="24"/>
          <w:szCs w:val="24"/>
          <w:shd w:val="clear" w:fill="FFFFFF"/>
        </w:rPr>
        <w:t>Чжу Вэйдун. Исследование эстетики дизайна орнамента «жэньдун» (жимолость) в пещерах Могао в Дуньхуане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232323"/>
          <w:spacing w:val="0"/>
          <w:sz w:val="24"/>
          <w:szCs w:val="24"/>
          <w:shd w:val="clear" w:fill="FFFFFF"/>
          <w:lang w:val="en-US" w:eastAsia="zh-CN"/>
        </w:rPr>
        <w:t xml:space="preserve"> </w:t>
      </w:r>
      <w:r>
        <w:rPr>
          <w:rFonts w:hint="default" w:ascii="Times New Roman" w:hAnsi="Times New Roman" w:eastAsia="Tahoma" w:cs="Times New Roman"/>
          <w:i w:val="0"/>
          <w:iCs w:val="0"/>
          <w:caps w:val="0"/>
          <w:color w:val="232323"/>
          <w:spacing w:val="0"/>
          <w:sz w:val="24"/>
          <w:szCs w:val="24"/>
          <w:shd w:val="clear" w:fill="FFFFFF"/>
        </w:rPr>
        <w:t>/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232323"/>
          <w:spacing w:val="0"/>
          <w:sz w:val="24"/>
          <w:szCs w:val="24"/>
          <w:shd w:val="clear" w:fill="FFFFFF"/>
          <w:lang w:val="en-US" w:eastAsia="zh-CN"/>
        </w:rPr>
        <w:t xml:space="preserve"> </w:t>
      </w:r>
      <w:r>
        <w:rPr>
          <w:rFonts w:hint="default" w:ascii="Times New Roman" w:hAnsi="Times New Roman" w:eastAsia="Tahoma" w:cs="Times New Roman"/>
          <w:i w:val="0"/>
          <w:iCs w:val="0"/>
          <w:caps w:val="0"/>
          <w:color w:val="232323"/>
          <w:spacing w:val="0"/>
          <w:sz w:val="24"/>
          <w:szCs w:val="24"/>
          <w:shd w:val="clear" w:fill="FFFFFF"/>
        </w:rPr>
        <w:t>Вэйдун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232323"/>
          <w:spacing w:val="0"/>
          <w:sz w:val="24"/>
          <w:szCs w:val="24"/>
          <w:shd w:val="clear" w:fill="FFFFFF"/>
          <w:lang w:val="en-US" w:eastAsia="zh-CN"/>
        </w:rPr>
        <w:t xml:space="preserve"> </w:t>
      </w:r>
      <w:r>
        <w:rPr>
          <w:rFonts w:hint="default" w:ascii="Times New Roman" w:hAnsi="Times New Roman" w:eastAsia="Tahoma" w:cs="Times New Roman"/>
          <w:i w:val="0"/>
          <w:iCs w:val="0"/>
          <w:caps w:val="0"/>
          <w:color w:val="232323"/>
          <w:spacing w:val="0"/>
          <w:sz w:val="24"/>
          <w:szCs w:val="24"/>
          <w:shd w:val="clear" w:fill="FFFFFF"/>
        </w:rPr>
        <w:t>Чжу,Чаоюэ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232323"/>
          <w:spacing w:val="0"/>
          <w:sz w:val="24"/>
          <w:szCs w:val="24"/>
          <w:shd w:val="clear" w:fill="FFFFFF"/>
          <w:lang w:val="en-US" w:eastAsia="zh-CN"/>
        </w:rPr>
        <w:t xml:space="preserve"> </w:t>
      </w:r>
      <w:r>
        <w:rPr>
          <w:rFonts w:hint="default" w:ascii="Times New Roman" w:hAnsi="Times New Roman" w:eastAsia="Tahoma" w:cs="Times New Roman"/>
          <w:i w:val="0"/>
          <w:iCs w:val="0"/>
          <w:caps w:val="0"/>
          <w:color w:val="232323"/>
          <w:spacing w:val="0"/>
          <w:sz w:val="24"/>
          <w:szCs w:val="24"/>
          <w:shd w:val="clear" w:fill="FFFFFF"/>
        </w:rPr>
        <w:t>Хоу</w:t>
      </w:r>
      <w:r>
        <w:rPr>
          <w:rFonts w:hint="default" w:ascii="Times New Roman" w:hAnsi="Times New Roman" w:eastAsia="Tahoma" w:cs="Times New Roman"/>
          <w:i w:val="0"/>
          <w:iCs w:val="0"/>
          <w:caps w:val="0"/>
          <w:color w:val="232323"/>
          <w:spacing w:val="0"/>
          <w:sz w:val="24"/>
          <w:szCs w:val="24"/>
          <w:shd w:val="clear" w:fill="FFFFFF"/>
        </w:rPr>
        <w:t xml:space="preserve"> </w:t>
      </w:r>
      <w:r>
        <w:rPr>
          <w:rFonts w:hint="default" w:ascii="Times New Roman" w:hAnsi="Times New Roman" w:eastAsia="Tahoma" w:cs="Times New Roman"/>
          <w:i w:val="0"/>
          <w:iCs w:val="0"/>
          <w:caps w:val="0"/>
          <w:color w:val="232323"/>
          <w:spacing w:val="0"/>
          <w:sz w:val="24"/>
          <w:szCs w:val="24"/>
          <w:shd w:val="clear" w:fill="FFFFFF"/>
        </w:rPr>
        <w:t>, Лефэн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232323"/>
          <w:spacing w:val="0"/>
          <w:sz w:val="24"/>
          <w:szCs w:val="24"/>
          <w:shd w:val="clear" w:fill="FFFFFF"/>
          <w:lang w:val="en-US" w:eastAsia="zh-CN"/>
        </w:rPr>
        <w:t xml:space="preserve"> </w:t>
      </w:r>
      <w:r>
        <w:rPr>
          <w:rFonts w:hint="default" w:ascii="Times New Roman" w:hAnsi="Times New Roman" w:eastAsia="Tahoma" w:cs="Times New Roman"/>
          <w:i w:val="0"/>
          <w:iCs w:val="0"/>
          <w:caps w:val="0"/>
          <w:color w:val="232323"/>
          <w:spacing w:val="0"/>
          <w:sz w:val="24"/>
          <w:szCs w:val="24"/>
          <w:shd w:val="clear" w:fill="FFFFFF"/>
        </w:rPr>
        <w:t>Лян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HAnsi"/>
          <w:sz w:val="24"/>
          <w:szCs w:val="24"/>
        </w:rPr>
        <w:t>— Текст: непосредственный</w:t>
      </w:r>
      <w:r>
        <w:rPr>
          <w:rFonts w:hint="default" w:ascii="Times New Roman" w:hAnsi="Times New Roman" w:eastAsia="Tahoma" w:cs="Times New Roman"/>
          <w:i w:val="0"/>
          <w:iCs w:val="0"/>
          <w:caps w:val="0"/>
          <w:color w:val="232323"/>
          <w:spacing w:val="0"/>
          <w:sz w:val="24"/>
          <w:szCs w:val="24"/>
          <w:shd w:val="clear" w:fill="FFFFFF"/>
        </w:rPr>
        <w:t>// Прогресс в дизайне. 2024. Т. 9. № 2. С. 632–645.</w:t>
      </w:r>
    </w:p>
    <w:p w14:paraId="222C0DA6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firstLine="397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  <w:t xml:space="preserve">Ван Хуэйминь. Исследование изображений дуньхуанских фресок в цифровую эпоху (на примере северной стены пещеры № 72 Могао с сюжетом «Майтрейя-сутры») 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  <w:t xml:space="preserve">/ Хуэйминь Ван </w:t>
      </w:r>
      <w:r>
        <w:rPr>
          <w:rFonts w:hint="default" w:ascii="Times New Roman" w:hAnsi="Times New Roman" w:cs="Times New Roman" w:eastAsiaTheme="minorHAnsi"/>
          <w:sz w:val="24"/>
          <w:szCs w:val="24"/>
        </w:rPr>
        <w:t>— Текст: непосредственный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  <w:t xml:space="preserve"> // Дуньхуанские исследования. 2019. № 4. С. 26–37.</w:t>
      </w:r>
    </w:p>
    <w:p w14:paraId="032FF6BC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firstLine="397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  <w:t>Юй Синьжань. Исследование креативного дизайна на основе дуньхуанских фресок с применением цифровых технологий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  <w:t>/Синьж</w:t>
      </w:r>
      <w:bookmarkStart w:id="0" w:name="_GoBack"/>
      <w:bookmarkEnd w:id="0"/>
      <w:r>
        <w:rPr>
          <w:rFonts w:hint="default" w:ascii="Times New Roman" w:hAnsi="Times New Roman" w:eastAsia="宋体" w:cs="Times New Roman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  <w:t>ань</w:t>
      </w:r>
      <w:r>
        <w:rPr>
          <w:rFonts w:hint="eastAsia" w:eastAsia="宋体" w:cs="Times New Roman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  <w:t>Юй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HAnsi"/>
          <w:sz w:val="24"/>
          <w:szCs w:val="24"/>
        </w:rPr>
        <w:t>— Текст: непосредственный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  <w:t>// Академические исследования и дискуссии. Ляонин, 2024. С. 117–119.</w:t>
      </w:r>
    </w:p>
    <w:p w14:paraId="52DE2F39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firstLine="397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  <w:t>Хэ Юнтин. Репрезентация и распространение дуньхуанских фресок в среде цифровых медиа /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  <w:t>Юнтин</w:t>
      </w:r>
      <w:r>
        <w:rPr>
          <w:rFonts w:hint="eastAsia" w:eastAsia="宋体" w:cs="Times New Roman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  <w:t>Хэ</w:t>
      </w:r>
      <w:r>
        <w:rPr>
          <w:rFonts w:hint="eastAsia" w:eastAsia="宋体" w:cs="Times New Roman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HAnsi"/>
          <w:sz w:val="24"/>
          <w:szCs w:val="24"/>
        </w:rPr>
        <w:t>— Текст: непосредственный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  <w:t>/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  <w:t>/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  <w:t>Искусствоведческий анализ. 2021. С. 82–83.</w:t>
      </w:r>
    </w:p>
    <w:p w14:paraId="0C30D44D">
      <w:pPr>
        <w:spacing w:beforeLines="0" w:afterLines="0"/>
        <w:ind w:firstLine="709"/>
        <w:rPr>
          <w:rFonts w:hint="default" w:ascii="Times New Roman" w:hAnsi="Times New Roman" w:eastAsia="宋体" w:cs="Times New Roman"/>
          <w:b/>
          <w:sz w:val="24"/>
          <w:szCs w:val="24"/>
          <w:lang w:val="en-US" w:eastAsia="zh-CN"/>
        </w:rPr>
      </w:pPr>
    </w:p>
    <w:p w14:paraId="6D9D134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firstLine="397"/>
        <w:textAlignment w:val="auto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>Научный руководитель:</w:t>
      </w:r>
      <w:r>
        <w:rPr>
          <w:rFonts w:hint="eastAsia" w:eastAsia="宋体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/>
          <w:sz w:val="24"/>
          <w:szCs w:val="24"/>
          <w:lang w:val="ru-RU"/>
        </w:rPr>
        <w:t>Жукова Л. Т</w:t>
      </w:r>
      <w:r>
        <w:rPr>
          <w:rFonts w:hint="eastAsia" w:eastAsia="宋体"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/>
          <w:sz w:val="24"/>
          <w:szCs w:val="24"/>
          <w:lang w:val="ru-RU"/>
        </w:rPr>
        <w:t>Директор института прикладного искусства, заведующий кафедрой технологии художественной обработки материалов и ювелирных изделий, член Ученого совета, доктор технических наук, профессор.</w:t>
      </w:r>
    </w:p>
    <w:p w14:paraId="13B18FB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firstLine="397"/>
        <w:textAlignment w:val="auto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>Зав. кафедрой технологии художественной обработки материалов и ювелирных изделий д.т.н., профессор Жукова Л. Т.</w:t>
      </w:r>
    </w:p>
    <w:p w14:paraId="4846E11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397"/>
        <w:jc w:val="center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sectPr>
      <w:pgSz w:w="11906" w:h="16838"/>
      <w:pgMar w:top="1134" w:right="1361" w:bottom="1134" w:left="1361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+西文正文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</w:pPr>
      <w:r>
        <w:separator/>
      </w:r>
    </w:p>
  </w:footnote>
  <w:footnote w:type="continuationSeparator" w:id="1">
    <w:p>
      <w:pPr>
        <w:spacing w:before="0" w:after="0"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3B5A977"/>
    <w:multiLevelType w:val="singleLevel"/>
    <w:tmpl w:val="23B5A97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8031D8"/>
    <w:rsid w:val="1207618C"/>
    <w:rsid w:val="1E444A39"/>
    <w:rsid w:val="490C6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360" w:lineRule="auto"/>
      <w:ind w:firstLine="709"/>
      <w:jc w:val="both"/>
    </w:pPr>
    <w:rPr>
      <w:rFonts w:ascii="Times New Roman" w:hAnsi="Times New Roman" w:eastAsia="+西文正文" w:cstheme="minorBidi"/>
      <w:kern w:val="0"/>
      <w:sz w:val="28"/>
      <w:szCs w:val="22"/>
      <w:lang w:val="ru-RU" w:eastAsia="en-US" w:bidi="ar-SA"/>
      <w14:ligatures w14:val="none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2025-03-06T09:14:00Z</dcterms:created>
  <dc:creator>12160</dc:creator>
  <cp:lastModifiedBy>Сиаосун Тянь</cp:lastModifiedBy>
  <dcterms:modified xsi:type="dcterms:W3CDTF">2026-03-02T16:42:42Z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F3536D88D03543649C86AEEE17961019_12</vt:lpwstr>
  </property>
  <property fmtid="{D5CDD505-2E9C-101B-9397-08002B2CF9AE}" pid="4" name="KSOTemplateDocerSaveRecord">
    <vt:lpwstr>eyJoZGlkIjoiNjU5YTgyNzFjOWJmMmQxMzNiZmVlNTc0YzU5OTE0YTIiLCJ1c2VySWQiOiI3MDE3MDE3NjQifQ==</vt:lpwstr>
  </property>
</Properties>
</file>