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Социокультурные аспекты процесса натурализации русской литературной эмиграции первой волны в Европе</w:t>
      </w:r>
    </w:p>
    <w:p w:rsidR="00000000" w:rsidDel="00000000" w:rsidP="00000000" w:rsidRDefault="00000000" w:rsidRPr="00000000" w14:paraId="00000002">
      <w:pPr>
        <w:spacing w:after="18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Старкова Мария Сергеевна</w:t>
      </w:r>
    </w:p>
    <w:p w:rsidR="00000000" w:rsidDel="00000000" w:rsidP="00000000" w:rsidRDefault="00000000" w:rsidRPr="00000000" w14:paraId="00000003">
      <w:pPr>
        <w:tabs>
          <w:tab w:val="right" w:leader="none" w:pos="141.73228346456693"/>
        </w:tabs>
        <w:spacing w:after="180"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Студентка</w:t>
      </w:r>
    </w:p>
    <w:p w:rsidR="00000000" w:rsidDel="00000000" w:rsidP="00000000" w:rsidRDefault="00000000" w:rsidRPr="00000000" w14:paraId="00000004">
      <w:pPr>
        <w:spacing w:after="180"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 В. Ломоносова,</w:t>
      </w:r>
    </w:p>
    <w:p w:rsidR="00000000" w:rsidDel="00000000" w:rsidP="00000000" w:rsidRDefault="00000000" w:rsidRPr="00000000" w14:paraId="00000005">
      <w:pPr>
        <w:spacing w:after="180"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spacing w:after="180"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E-mail:mariastarkova20043110@gmail.com</w:t>
      </w:r>
    </w:p>
    <w:p w:rsidR="00000000" w:rsidDel="00000000" w:rsidP="00000000" w:rsidRDefault="00000000" w:rsidRPr="00000000" w14:paraId="00000007">
      <w:pPr>
        <w:spacing w:after="18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8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Устойчивый характер миграционных процессов в XX-XXI вв. делает актуальным изучение аспектов социокультурной натурализации эмигрантов. Первая волна русской эмиграции (1917-1924) представляет особый интерес из-за формирования уникального культурного пространства Русского Зарубежья - модели существования и развития национальной культуры за пределами государственных границ, не имеющей аналогов в мировой истории.</w:t>
      </w:r>
    </w:p>
    <w:p w:rsidR="00000000" w:rsidDel="00000000" w:rsidP="00000000" w:rsidRDefault="00000000" w:rsidRPr="00000000" w14:paraId="00000009">
      <w:pPr>
        <w:spacing w:after="18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основано на культурологическом подходе и использует концепции культурного шока [7] и стратегии аккультурации [6] (ассимиляция, сепарация, интеграция, маргинализация). Натурализация рассматривается не как юридический акт, а как комплексный социокультурный процесс адаптации в инокультурной среде.</w:t>
      </w:r>
    </w:p>
    <w:p w:rsidR="00000000" w:rsidDel="00000000" w:rsidP="00000000" w:rsidRDefault="00000000" w:rsidRPr="00000000" w14:paraId="0000000A">
      <w:pPr>
        <w:spacing w:after="18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сосредоточено на двух ключевых центрах послереволюционной эмиграции - Париже и Берлине. Первую волну отличали установки, определившие ее оригинальную адаптационную модель: убежденность во временности изгнания, стремление к сохранению языка и дореволюционной культуры, развитая система самоорганизации через образовательные, религиозные и культурные институты. Эти факторы обусловили доминирование стратегии сепарации - сознательной культурной обособленности эмигрантов при минимальной интеграции в принимающее общество.</w:t>
      </w:r>
    </w:p>
    <w:p w:rsidR="00000000" w:rsidDel="00000000" w:rsidP="00000000" w:rsidRDefault="00000000" w:rsidRPr="00000000" w14:paraId="0000000B">
      <w:pPr>
        <w:spacing w:after="18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Художественная литература первой волны эмиграции служит ценным источником для анализа социокультурных аспектов натурализации эмигрантов. Литературоцентризм русской культурной традиции получил новое преломление в условиях изгнания: литература стала «квинтэссенцией эмигрантской России» [5] и средством преобразования травматического опыта эмиграции в культурно осмысленный опыт [1]. Проза А. И. Куприна (повесть «Жанета») и В. В. Набокова (рассказы «Облако. Озеро. Башня», «Посещение музея») репрезентирует утрату социального статуса, экономическую нестабильность, языковую отчужденность, конфликт между сохранением идентичности и необходимостью адаптации.</w:t>
      </w:r>
    </w:p>
    <w:p w:rsidR="00000000" w:rsidDel="00000000" w:rsidP="00000000" w:rsidRDefault="00000000" w:rsidRPr="00000000" w14:paraId="0000000C">
      <w:pPr>
        <w:spacing w:before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социокультурная натурализация первой волны русской эмиграции представляла противоречивый процесс, где стремление к культурной обособленности вступало в конфликт с необходимостью интеграции в новую среду. Литературные тексты фиксируют коллективный опыт разрыва, утраты и поиска новых форм самоопределения, выступая не только художественным, но и историческим источником изучения адаптационных практик Русского зарубежья.</w:t>
      </w:r>
    </w:p>
    <w:p w:rsidR="00000000" w:rsidDel="00000000" w:rsidP="00000000" w:rsidRDefault="00000000" w:rsidRPr="00000000" w14:paraId="0000000D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Бахтин, М. М. К методологии гуманитарных наук / М. М. Бахтин // Развитие личности. — 2008. — № 4.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Куприн, А. И. Жанета / А. И. Куприн // Современные записки. — Париж, 1932. — № 50. ; 1933. — № 53.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Набоков, В. В. Облако, озеро, башня / В. В. Набоков // Весна в Фиальте и другие рассказы. — Нью-Йорк : Изд-во им. Чехова, 1956. — С. 141–153.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Набоков, В. В. Посещение музея / В. В. Набоков // Весна в Фиальте и другие рассказы. — Нью-Йорк : Изд-во им. Чехова, 1956. — С. 99–115.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Нива, Ж. Возвращение в Европу : Статьи о русской литературе / Жорж Нива ; пер. с фр. Е. Э. Ляминой. — Москва : Высшая школа, 1999. — 199 с.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Berry, J. W. Acculturation strategies / J. W. Berry // The Cambridge Handbook of Acculturation Psychology / ed. by D. L. Sam, J. W. Berry. — Cambridge : Cambridge University Press, 2006. — P. 69–82.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Oberg, K. Cultural Shock: Adjustment to New Cultural Environments / K. Oberg // Curare. — 2006. — Vol. 29, No. 2/3. — P. 142–146. — Reprint from: Practical Anthropology, 1960, Vol. 7, P. 177–182</w:t>
      </w:r>
    </w:p>
    <w:p w:rsidR="00000000" w:rsidDel="00000000" w:rsidP="00000000" w:rsidRDefault="00000000" w:rsidRPr="00000000" w14:paraId="00000016">
      <w:pPr>
        <w:ind w:left="0" w:firstLine="396.85039370078744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k0HCXn71+7lY6f/Z1KjwYdaHg==">CgMxLjA4AHIhMXVLZUhpOVJQTVg2cXNDTXZ0TnZuRWZHaUZrckxJZG5i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