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vertAlign w:val="baseline"/>
        </w:rPr>
      </w:pPr>
      <w:r w:rsidDel="00000000" w:rsidR="00000000" w:rsidRPr="00000000">
        <w:rPr>
          <w:b w:val="1"/>
          <w:bCs w:val="1"/>
          <w:rtl w:val="0"/>
        </w:rPr>
        <w:t xml:space="preserve">Китайский вариант английского языка в современных учебниках как средство формирования межкультурной компетенции</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b w:val="1"/>
          <w:bCs w:val="1"/>
          <w:i w:val="1"/>
          <w:iCs w:val="1"/>
          <w:rtl w:val="0"/>
        </w:rPr>
        <w:t xml:space="preserve">Королькова Милана Михайловна</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i w:val="1"/>
          <w:iCs w:val="1"/>
          <w:rtl w:val="0"/>
        </w:rPr>
        <w:t xml:space="preserve">студентка бакалавриата</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Московский государственный университет имени М.В.Ломоносова, Факультет иностранных языков и регионоведения, Москва, Россия</w:t>
        <w:br w:type="textWrapping"/>
        <w:t xml:space="preserve">E-mail: </w:t>
      </w:r>
      <w:r w:rsidDel="00000000" w:rsidR="00000000" w:rsidRPr="00000000">
        <w:rPr>
          <w:i w:val="1"/>
          <w:iCs w:val="1"/>
          <w:rtl w:val="0"/>
        </w:rPr>
        <w:t xml:space="preserve">milushena@yandex.ru</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pPr>
      <w:r w:rsidDel="00000000" w:rsidR="00000000" w:rsidRPr="00000000">
        <w:rPr>
          <w:rtl w:val="0"/>
        </w:rPr>
        <w:t xml:space="preserve">В условиях расширения международных контактов межкультурная коммуникация становится неотъемлемой частью профессиональной и академической деятельности. Под межкультурной коммуникацией понимается «прямой или опосредованный обмен информацией между представителями различных культур» [2, с. 35]. Эффективность такого взаимодействия напрямую связана с уровнем сформированности межкультурной компетенции личности.</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pPr>
      <w:r w:rsidDel="00000000" w:rsidR="00000000" w:rsidRPr="00000000">
        <w:rPr>
          <w:rtl w:val="0"/>
        </w:rPr>
        <w:t xml:space="preserve">Согласно О.А. Леонтович, межкультурная компетенция представляет собой комплекс культурной, языковой и коммуникативной компетенций [1]. Языковая компетенция предполагает корректный выбор языковых средств в зависимости от ситуации общения; коммуникативная — понимание закономерностей общения в конкретной культуре; культурная — владение системой фоновых знаний и ценностных установок, необходимых для адекватной интерпретации поведения представителей иной культуры [1]. Формирование данных компонентов является ключевой задачей современного языкового образования.</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pPr>
      <w:r w:rsidDel="00000000" w:rsidR="00000000" w:rsidRPr="00000000">
        <w:rPr>
          <w:rtl w:val="0"/>
        </w:rPr>
        <w:t xml:space="preserve">В условиях глобализации английский язык функционирует как средство общения между представителями различных культур, в том числе Китая и России. Это приводит к формированию национальных вариантов английского языка, отражающих особенности мышления и коммуникативных стратегий их носителей. Китайский вариант английского языка представляет особый интерес в связи с возрастающей ролью Китая на международной арене.</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pPr>
      <w:r w:rsidDel="00000000" w:rsidR="00000000" w:rsidRPr="00000000">
        <w:rPr>
          <w:rtl w:val="0"/>
        </w:rPr>
        <w:t xml:space="preserve">С целью выявления представленности китайской тематики и элементов китайского варианта английского языка в современных учебниках английского в рамках настоящего исследования были проанализированы учебные комплексы New Headway, Global, English Unlimited и New Millennium English (10–11 классы). Было выявлено, что китайская тематика присутствует во всех рассмотренных пособиях, однако ее глубина и методический потенциал для развития межкультурной компетенции различаются.</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pPr>
      <w:r w:rsidDel="00000000" w:rsidR="00000000" w:rsidRPr="00000000">
        <w:rPr>
          <w:rtl w:val="0"/>
        </w:rPr>
        <w:t xml:space="preserve">В учебнике New Headway (Upper-Intermediate) Китай упоминается в контексте туристических впечатлений, где Великая Китайская стена включена в перечень популярных мировых достопримечательностей. Однако материал не сопровождается заданиями, направленными на осмысление исторического или символического значения объекта. В версии Advanced данная тематика раскрывается более глубоко: учащиеся читают письмо британского журналиста, проживающего в Гонконге. В тексте упоминаются фэн-шуй, китайский календарь, год Свиньи, реакция соседей на рождение мальчика. Данный материал потенциально развивает культурную компетенцию, однако задания преимущественно направлены на языковой анализ текста, а не на обсуждение культурных различий в системе ценностей.</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pPr>
      <w:r w:rsidDel="00000000" w:rsidR="00000000" w:rsidRPr="00000000">
        <w:rPr>
          <w:rtl w:val="0"/>
        </w:rPr>
        <w:t xml:space="preserve">В учебнике Global (Upper-Intermediate) представлен аудиофрагмент, в котором студент из Китая по имени Хао рассказывает о трудностях использования английских времен. Его ошибки объясняются </w:t>
      </w:r>
      <w:r w:rsidDel="00000000" w:rsidR="00000000" w:rsidRPr="00000000">
        <w:rPr>
          <w:rtl w:val="0"/>
        </w:rPr>
        <w:t xml:space="preserve">отсутствием грамматической категории</w:t>
      </w:r>
      <w:r w:rsidDel="00000000" w:rsidR="00000000" w:rsidRPr="00000000">
        <w:rPr>
          <w:rtl w:val="0"/>
        </w:rPr>
        <w:t xml:space="preserve"> времени в китайском языке. Это задание создает условия для развития языковой компетенции в межкультурном аспекте, поскольку позволяет учащимся осознать влияние родного языка на формирование английской речи. Кроме того, в Advanced версии предлагается аудирование о ряде достопримечательностей, включая Великую Китайскую стену. Материал содержит исторические сведения об объекте, однако ограничивается информационным уровнем.</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pPr>
      <w:r w:rsidDel="00000000" w:rsidR="00000000" w:rsidRPr="00000000">
        <w:rPr>
          <w:rtl w:val="0"/>
        </w:rPr>
        <w:t xml:space="preserve">Более значимым представляется раздел Unit 9, посвященный написанию proposal о развитии велосипедной инфраструктуры в Пекине. Пекин описывается как один из крупнейших «велосипедных городов» мира. Данный текст может быть использован для обсуждения урбанистических и социальных реалий современного Китая. В Unit 10 студент из Шанхая делится воспоминаниями о районе Пудун. В его рассказе сопоставляются прошлое и настоящее города, затрагиваются процессы коммерциализации и изменения городской среды. Данный материал обладает потенциалом для развития как культурной, так и коммуникативной компетенции, поскольку позволяет анализировать ценностные установки и социокультурные трансформации.</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pPr>
      <w:r w:rsidDel="00000000" w:rsidR="00000000" w:rsidRPr="00000000">
        <w:rPr>
          <w:rtl w:val="0"/>
        </w:rPr>
        <w:t xml:space="preserve">Учебник English Unlimited (Upper-Intermediate) предлагает диалог о Пекине с упоминанием Запретного города, Храма Неба, Олимпийского стадиона и Великой Китайской стены. Здесь акцент делается на развитие навыков аудирования и лексики. В Unit 10 представлено интервью с китайским биологом Лу Чжи о проблемах сохранения популяции панд, что вводит экологическую проблематику. В другом разделе рассматриваются особенности трудоустройства в Китае: значение личных качеств выпускников, стажировок, нормы поведения на собеседовании. Этот материал способствует развитию коммуникативной компетенции, поскольку демонстрирует специфику делового взаимодействия.</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pPr>
      <w:r w:rsidDel="00000000" w:rsidR="00000000" w:rsidRPr="00000000">
        <w:rPr>
          <w:rtl w:val="0"/>
        </w:rPr>
        <w:t xml:space="preserve">На уровне Advanced можно встретить фрагмент романа Го Сяолу «A Concise Chinese-English Dictionary for Lovers». Намеренно нарушенная грамматика и синтаксис в ранних главах отражают влияние китайского языка на английскую речь героини. Работа с таким текстом позволяет анализировать особенности китайского английского и учит интерпретировать нестандартные языковые формы без стигматизации.</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pPr>
      <w:r w:rsidDel="00000000" w:rsidR="00000000" w:rsidRPr="00000000">
        <w:rPr>
          <w:rtl w:val="0"/>
        </w:rPr>
        <w:t xml:space="preserve">Проведенный анализ показал, что китайская тематика в учебниках представлена, однако преимущественно на страноведческом уровне. Таким образом, представляется целесообразным расширение содержания учебных материалов за счет включения текстов, отражающих реальные коммуникативные практики китайского английского, заданий на анализ культурно обусловленных речевых стратегий, а также обсуждения влияния ценностных установок на выбор языковых средств. Это позволит повысить уровень готовности студентов к участию в межкультурной коммуникации в условиях российско-китайского сотрудничества.</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Литература</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firstLine="37.00000000000003"/>
        <w:jc w:val="both"/>
        <w:rPr>
          <w:rFonts w:ascii="Times New Roman" w:cs="Times New Roman" w:eastAsia="Times New Roman" w:hAnsi="Times New Roman"/>
          <w:b w:val="0"/>
          <w:bCs w:val="0"/>
          <w:i w:val="0"/>
          <w:iCs w:val="0"/>
          <w:color w:val="000000"/>
          <w:sz w:val="24"/>
          <w:szCs w:val="24"/>
          <w:u w:val="none"/>
        </w:rPr>
      </w:pPr>
      <w:r w:rsidDel="00000000" w:rsidR="00000000" w:rsidRPr="00000000">
        <w:rPr>
          <w:rtl w:val="0"/>
        </w:rPr>
        <w:t xml:space="preserve">Леонтович О. А. Введение в межкультурную коммуникацию. Учебное пособие. М.: Гнозис, 2007. – 368 с.</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firstLine="37.00000000000003"/>
        <w:jc w:val="both"/>
        <w:rPr>
          <w:rFonts w:ascii="Times New Roman" w:cs="Times New Roman" w:eastAsia="Times New Roman" w:hAnsi="Times New Roman"/>
          <w:b w:val="0"/>
          <w:bCs w:val="0"/>
          <w:i w:val="0"/>
          <w:iCs w:val="0"/>
          <w:color w:val="000000"/>
          <w:sz w:val="24"/>
          <w:szCs w:val="24"/>
          <w:u w:val="none"/>
        </w:rPr>
      </w:pPr>
      <w:r w:rsidDel="00000000" w:rsidR="00000000" w:rsidRPr="00000000">
        <w:rPr>
          <w:rtl w:val="0"/>
        </w:rPr>
        <w:t xml:space="preserve">Молчанова Г. Г. Когнитивная поликодовость межкультурной коммуникации: вербалика и невербалика. Учебное пособие. М.: ОЛМА Медиа Групп, 2014. – 208 с.</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sectPr>
      <w:headerReference r:id="rId6" w:type="default"/>
      <w:footerReference r:id="rId7" w:type="default"/>
      <w:pgSz w:h="16838" w:w="11906" w:orient="portrait"/>
      <w:pgMar w:bottom="1134" w:top="1134" w:left="1361" w:right="1361"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firstLine="37"/>
      </w:pPr>
      <w:rPr>
        <w:smallCaps w:val="0"/>
        <w:strike w:val="0"/>
        <w:shd w:fill="auto" w:val="clear"/>
        <w:vertAlign w:val="baseline"/>
      </w:rPr>
    </w:lvl>
    <w:lvl w:ilvl="1">
      <w:start w:val="1"/>
      <w:numFmt w:val="decimal"/>
      <w:lvlText w:val="%2."/>
      <w:lvlJc w:val="left"/>
      <w:pPr>
        <w:ind w:left="753" w:firstLine="4"/>
      </w:pPr>
      <w:rPr>
        <w:smallCaps w:val="0"/>
        <w:strike w:val="0"/>
        <w:shd w:fill="auto" w:val="clear"/>
        <w:vertAlign w:val="baseline"/>
      </w:rPr>
    </w:lvl>
    <w:lvl w:ilvl="2">
      <w:start w:val="1"/>
      <w:numFmt w:val="decimal"/>
      <w:lvlText w:val="%3."/>
      <w:lvlJc w:val="left"/>
      <w:pPr>
        <w:ind w:left="1113" w:firstLine="4"/>
      </w:pPr>
      <w:rPr>
        <w:smallCaps w:val="0"/>
        <w:strike w:val="0"/>
        <w:shd w:fill="auto" w:val="clear"/>
        <w:vertAlign w:val="baseline"/>
      </w:rPr>
    </w:lvl>
    <w:lvl w:ilvl="3">
      <w:start w:val="1"/>
      <w:numFmt w:val="decimal"/>
      <w:lvlText w:val="%4."/>
      <w:lvlJc w:val="left"/>
      <w:pPr>
        <w:ind w:left="1473" w:firstLine="4.000000000000227"/>
      </w:pPr>
      <w:rPr>
        <w:smallCaps w:val="0"/>
        <w:strike w:val="0"/>
        <w:shd w:fill="auto" w:val="clear"/>
        <w:vertAlign w:val="baseline"/>
      </w:rPr>
    </w:lvl>
    <w:lvl w:ilvl="4">
      <w:start w:val="1"/>
      <w:numFmt w:val="decimal"/>
      <w:lvlText w:val="%5."/>
      <w:lvlJc w:val="left"/>
      <w:pPr>
        <w:ind w:left="1833" w:firstLine="4.000000000000227"/>
      </w:pPr>
      <w:rPr>
        <w:smallCaps w:val="0"/>
        <w:strike w:val="0"/>
        <w:shd w:fill="auto" w:val="clear"/>
        <w:vertAlign w:val="baseline"/>
      </w:rPr>
    </w:lvl>
    <w:lvl w:ilvl="5">
      <w:start w:val="1"/>
      <w:numFmt w:val="decimal"/>
      <w:lvlText w:val="%6."/>
      <w:lvlJc w:val="left"/>
      <w:pPr>
        <w:ind w:left="2193" w:firstLine="4"/>
      </w:pPr>
      <w:rPr>
        <w:smallCaps w:val="0"/>
        <w:strike w:val="0"/>
        <w:shd w:fill="auto" w:val="clear"/>
        <w:vertAlign w:val="baseline"/>
      </w:rPr>
    </w:lvl>
    <w:lvl w:ilvl="6">
      <w:start w:val="1"/>
      <w:numFmt w:val="decimal"/>
      <w:lvlText w:val="%7."/>
      <w:lvlJc w:val="left"/>
      <w:pPr>
        <w:ind w:left="2553" w:firstLine="4"/>
      </w:pPr>
      <w:rPr>
        <w:smallCaps w:val="0"/>
        <w:strike w:val="0"/>
        <w:shd w:fill="auto" w:val="clear"/>
        <w:vertAlign w:val="baseline"/>
      </w:rPr>
    </w:lvl>
    <w:lvl w:ilvl="7">
      <w:start w:val="1"/>
      <w:numFmt w:val="decimal"/>
      <w:lvlText w:val="%8."/>
      <w:lvlJc w:val="left"/>
      <w:pPr>
        <w:ind w:left="2913" w:firstLine="4"/>
      </w:pPr>
      <w:rPr>
        <w:smallCaps w:val="0"/>
        <w:strike w:val="0"/>
        <w:shd w:fill="auto" w:val="clear"/>
        <w:vertAlign w:val="baseline"/>
      </w:rPr>
    </w:lvl>
    <w:lvl w:ilvl="8">
      <w:start w:val="1"/>
      <w:numFmt w:val="decimal"/>
      <w:lvlText w:val="%9."/>
      <w:lvlJc w:val="left"/>
      <w:pPr>
        <w:ind w:left="3273" w:firstLine="4"/>
      </w:pPr>
      <w:rPr>
        <w:smallCaps w:val="0"/>
        <w:strike w:val="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