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11304">
      <w:pPr>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Обучение китайских студентов подготовке и презентации устного научного доклада</w:t>
      </w:r>
    </w:p>
    <w:p w14:paraId="065C192F">
      <w:pPr>
        <w:jc w:val="center"/>
        <w:rPr>
          <w:rFonts w:hint="eastAsia" w:ascii="Times New Roman" w:hAnsi="Times New Roman" w:cs="Times New Roman" w:eastAsiaTheme="minorEastAsia"/>
          <w:i/>
          <w:iCs/>
          <w:sz w:val="24"/>
          <w:szCs w:val="24"/>
          <w:lang w:val="en-US" w:eastAsia="zh-CN"/>
        </w:rPr>
      </w:pPr>
      <w:r>
        <w:rPr>
          <w:rFonts w:ascii="Times New Roman" w:hAnsi="Times New Roman" w:cs="Times New Roman"/>
          <w:i/>
          <w:iCs/>
          <w:sz w:val="24"/>
          <w:szCs w:val="24"/>
          <w:lang w:val="ru-RU"/>
        </w:rPr>
        <w:t>Чжан Ю</w:t>
      </w:r>
      <w:r>
        <w:rPr>
          <w:rFonts w:hint="eastAsia" w:ascii="Times New Roman" w:hAnsi="Times New Roman" w:cs="Times New Roman"/>
          <w:i/>
          <w:iCs/>
          <w:sz w:val="24"/>
          <w:szCs w:val="24"/>
          <w:lang w:val="en-US" w:eastAsia="zh-CN"/>
        </w:rPr>
        <w:t>.</w:t>
      </w:r>
    </w:p>
    <w:p w14:paraId="4AF3F452">
      <w:pPr>
        <w:jc w:val="center"/>
        <w:rPr>
          <w:rFonts w:hint="default" w:ascii="Times New Roman" w:hAnsi="Times New Roman" w:cs="Times New Roman"/>
          <w:b/>
          <w:bCs/>
          <w:i/>
          <w:iCs/>
          <w:sz w:val="24"/>
          <w:szCs w:val="24"/>
          <w:lang w:val="ru-RU"/>
        </w:rPr>
      </w:pPr>
      <w:r>
        <w:rPr>
          <w:rFonts w:ascii="Times New Roman" w:hAnsi="Times New Roman" w:cs="Times New Roman"/>
          <w:i/>
          <w:iCs/>
          <w:sz w:val="24"/>
          <w:szCs w:val="24"/>
          <w:lang w:val="ru-RU"/>
        </w:rPr>
        <w:t>Аспирант Государственного института русского языка имени А. С. Пушки</w:t>
      </w:r>
      <w:r>
        <w:rPr>
          <w:rFonts w:hint="default" w:ascii="Times New Roman" w:hAnsi="Times New Roman" w:cs="Times New Roman"/>
          <w:i/>
          <w:iCs/>
          <w:sz w:val="24"/>
          <w:szCs w:val="24"/>
          <w:lang w:val="ru-RU"/>
        </w:rPr>
        <w:t>на,</w:t>
      </w:r>
      <w:r>
        <w:rPr>
          <w:rFonts w:hint="default" w:ascii="Times New Roman" w:hAnsi="Times New Roman" w:cs="Times New Roman"/>
          <w:i/>
          <w:iCs/>
          <w:sz w:val="24"/>
          <w:szCs w:val="24"/>
          <w:lang w:val="en-US" w:eastAsia="zh-CN"/>
        </w:rPr>
        <w:t xml:space="preserve"> фак-т обучения русскому языку как иностранному</w:t>
      </w:r>
      <w:r>
        <w:rPr>
          <w:rFonts w:hint="default" w:ascii="Times New Roman" w:hAnsi="Times New Roman" w:cs="Times New Roman"/>
          <w:i/>
          <w:iCs/>
          <w:sz w:val="24"/>
          <w:szCs w:val="24"/>
          <w:lang w:val="ru-RU"/>
        </w:rPr>
        <w:t xml:space="preserve"> </w:t>
      </w:r>
      <w:r>
        <w:rPr>
          <w:rFonts w:hint="default" w:ascii="Times New Roman" w:hAnsi="Times New Roman" w:cs="Times New Roman"/>
          <w:i/>
          <w:iCs/>
          <w:sz w:val="24"/>
          <w:szCs w:val="24"/>
          <w:lang w:val="en-US" w:eastAsia="zh-CN"/>
        </w:rPr>
        <w:t xml:space="preserve"> </w:t>
      </w:r>
      <w:r>
        <w:rPr>
          <w:rFonts w:hint="default" w:ascii="Times New Roman" w:hAnsi="Times New Roman" w:cs="Times New Roman"/>
          <w:i/>
          <w:iCs/>
          <w:sz w:val="24"/>
          <w:szCs w:val="24"/>
          <w:lang w:val="ru-RU"/>
        </w:rPr>
        <w:t>Москва, Россия</w:t>
      </w:r>
      <w:r>
        <w:rPr>
          <w:rFonts w:hint="default" w:ascii="Times New Roman" w:hAnsi="Times New Roman" w:cs="Times New Roman"/>
          <w:b/>
          <w:bCs/>
          <w:i/>
          <w:iCs/>
          <w:sz w:val="24"/>
          <w:szCs w:val="24"/>
          <w:lang w:val="ru-RU"/>
        </w:rPr>
        <w:t xml:space="preserve"> </w:t>
      </w:r>
    </w:p>
    <w:p w14:paraId="34BBEB07">
      <w:pPr>
        <w:jc w:val="center"/>
        <w:rPr>
          <w:rFonts w:hint="default" w:ascii="Times New Roman" w:hAnsi="Times New Roman" w:cs="Times New Roman" w:eastAsiaTheme="minorEastAsia"/>
          <w:b w:val="0"/>
          <w:bCs w:val="0"/>
          <w:i/>
          <w:iCs/>
          <w:sz w:val="24"/>
          <w:szCs w:val="24"/>
          <w:lang w:val="en-US" w:eastAsia="zh-CN"/>
        </w:rPr>
      </w:pPr>
      <w:bookmarkStart w:id="0" w:name="_GoBack"/>
      <w:r>
        <w:rPr>
          <w:rFonts w:hint="default" w:ascii="Times New Roman" w:hAnsi="Times New Roman" w:cs="Times New Roman"/>
          <w:b w:val="0"/>
          <w:bCs w:val="0"/>
          <w:i/>
          <w:iCs/>
          <w:sz w:val="24"/>
          <w:szCs w:val="24"/>
          <w:lang w:val="ru-RU"/>
        </w:rPr>
        <w:t>E–mail: </w:t>
      </w:r>
      <w:r>
        <w:rPr>
          <w:rFonts w:hint="eastAsia" w:ascii="Times New Roman" w:hAnsi="Times New Roman" w:cs="Times New Roman"/>
          <w:b w:val="0"/>
          <w:bCs w:val="0"/>
          <w:i/>
          <w:iCs/>
          <w:sz w:val="24"/>
          <w:szCs w:val="24"/>
          <w:lang w:val="en-US" w:eastAsia="zh-CN"/>
        </w:rPr>
        <w:t>zyue2397@gmail.com</w:t>
      </w:r>
    </w:p>
    <w:bookmarkEnd w:id="0"/>
    <w:p w14:paraId="6D6433A2">
      <w:pPr>
        <w:jc w:val="center"/>
        <w:rPr>
          <w:rFonts w:hint="default" w:ascii="Times New Roman" w:hAnsi="Times New Roman" w:cs="Times New Roman"/>
          <w:b w:val="0"/>
          <w:bCs w:val="0"/>
          <w:i/>
          <w:iCs/>
          <w:sz w:val="24"/>
          <w:szCs w:val="24"/>
          <w:lang w:val="ru-RU"/>
        </w:rPr>
      </w:pPr>
    </w:p>
    <w:p w14:paraId="3CF26D9A">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В контексте углубления гуманитарного сотрудничества между Китаем и Россией цели подготовки китайских учащихся, изучающих русский язык, смещаются от общеязыковой компетенции к способности осуществлять высокоуровневую академическую коммуникацию. Академический доклад является комплексным проявлением логики мышления, соблюдения академических норм и коммуникативных стратегий. Однако в реальной практике обучения научному стилю речи преобладает тенденция уделять больше внимания письменной подготовке, чем устной речи. Как только студенты сталкиваются с необходимостью говорить без опоры или с вопросами, у них возникают логические сбои и коммуникативные блокировки.</w:t>
      </w:r>
    </w:p>
    <w:p w14:paraId="51713BA7">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 xml:space="preserve">Сегодня реформа преподавания русского языка в Китае остро нуждается в поиске новых педагогических моделей, которые смогут трансформировать научный доклад из «демонстрации» заученного материала в полноценный академический диалог. </w:t>
      </w:r>
    </w:p>
    <w:p w14:paraId="222B0DDD">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Данное исследование базируется на двух теоретических подходах:</w:t>
      </w:r>
    </w:p>
    <w:p w14:paraId="4EA57EE3">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 xml:space="preserve">1) Конструктивистская теория обучения, подразумевающая «приобретение» учащимися знаний в процессе собственного конструирования смысла в определенном контексте, с помощью других участников процесса и использованием необходимых учебных материалов. С. Ю. Рассказова указывает, что ядро конструктивистского подхода заключается в активном конструировании знаний через «адаптацию и ассимиляцию новой информации» </w:t>
      </w:r>
      <w:r>
        <w:rPr>
          <w:rFonts w:hint="eastAsia" w:ascii="Times New Roman" w:hAnsi="Times New Roman" w:cs="Times New Roman"/>
          <w:sz w:val="24"/>
          <w:szCs w:val="24"/>
          <w:lang w:val="ru-RU"/>
        </w:rPr>
        <w:t>[</w:t>
      </w:r>
      <w:r>
        <w:rPr>
          <w:rFonts w:ascii="Times New Roman" w:hAnsi="Times New Roman" w:cs="Times New Roman"/>
          <w:sz w:val="24"/>
          <w:szCs w:val="24"/>
          <w:lang w:val="ru-RU"/>
        </w:rPr>
        <w:t>Рассказова</w:t>
      </w:r>
      <w:r>
        <w:rPr>
          <w:rFonts w:hint="eastAsia" w:ascii="Times New Roman" w:hAnsi="Times New Roman" w:cs="Times New Roman"/>
          <w:sz w:val="24"/>
          <w:szCs w:val="24"/>
          <w:lang w:val="ru-RU"/>
        </w:rPr>
        <w:t>: 118]</w:t>
      </w:r>
      <w:r>
        <w:rPr>
          <w:rFonts w:ascii="Times New Roman" w:hAnsi="Times New Roman" w:cs="Times New Roman"/>
          <w:sz w:val="24"/>
          <w:szCs w:val="24"/>
          <w:lang w:val="ru-RU"/>
        </w:rPr>
        <w:t>.</w:t>
      </w:r>
      <w:r>
        <w:rPr>
          <w:rFonts w:ascii="Times New Roman" w:hAnsi="Times New Roman" w:cs="Times New Roman"/>
          <w:i/>
          <w:iCs/>
          <w:sz w:val="24"/>
          <w:szCs w:val="24"/>
          <w:lang w:val="ru-RU"/>
        </w:rPr>
        <w:t xml:space="preserve"> </w:t>
      </w:r>
      <w:r>
        <w:rPr>
          <w:rFonts w:ascii="Times New Roman" w:hAnsi="Times New Roman" w:cs="Times New Roman"/>
          <w:sz w:val="24"/>
          <w:szCs w:val="24"/>
          <w:lang w:val="ru-RU"/>
        </w:rPr>
        <w:t xml:space="preserve"> </w:t>
      </w:r>
    </w:p>
    <w:p w14:paraId="6485436F">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 xml:space="preserve">2) Теория лексических блоков (фразеологический подход), подразумевающая возможность овладения учащимися языковыми паттернами, конструкциями, состоящими из фиксированных и вариативных частей, выходящими за рамки отдельных слов </w:t>
      </w:r>
      <w:r>
        <w:rPr>
          <w:rFonts w:hint="eastAsia" w:ascii="Times New Roman" w:hAnsi="Times New Roman" w:cs="Times New Roman"/>
          <w:sz w:val="24"/>
          <w:szCs w:val="24"/>
          <w:lang w:val="ru-RU"/>
        </w:rPr>
        <w:t>[</w:t>
      </w:r>
      <w:r>
        <w:rPr>
          <w:rFonts w:ascii="Times New Roman" w:hAnsi="Times New Roman" w:cs="Times New Roman"/>
          <w:sz w:val="24"/>
          <w:szCs w:val="24"/>
          <w:lang w:val="ru-RU"/>
        </w:rPr>
        <w:t>Эндресен</w:t>
      </w:r>
      <w:r>
        <w:rPr>
          <w:rFonts w:hint="eastAsia" w:ascii="Times New Roman" w:hAnsi="Times New Roman" w:cs="Times New Roman"/>
          <w:sz w:val="24"/>
          <w:szCs w:val="24"/>
          <w:lang w:val="ru-RU"/>
        </w:rPr>
        <w:t>: 82]</w:t>
      </w:r>
      <w:r>
        <w:rPr>
          <w:rFonts w:ascii="Times New Roman" w:hAnsi="Times New Roman" w:cs="Times New Roman"/>
          <w:sz w:val="24"/>
          <w:szCs w:val="24"/>
          <w:lang w:val="ru-RU"/>
        </w:rPr>
        <w:t xml:space="preserve">. Согласно теории, готовые блоки являются ключом к беглости речи, позволяющим снизить нагрузку на кратковременную память, ускорить декодирование информации, преодолеть негативное влияние родного языка и повысить беглость и естественность речи. </w:t>
      </w:r>
    </w:p>
    <w:p w14:paraId="502C8671">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На основе педагогических наблюдений проблемы китайских студентов при подготовке академических докладов можно обобщить на трех уровнях: структурном, собственно языковом и уровне взаимодействия. Данным уровням соответствуют понимание линейной логики академического доклада, уместное использование стилистических регистров и владение коммуникативными стратегиями, необходимыми на вопросно-ответной сессии.</w:t>
      </w:r>
    </w:p>
    <w:p w14:paraId="3F11F6FE">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В качестве возможного решения в работе предлагаются три последовательных методических приема, направленных на постепенно формирование навыков академической устной речи.</w:t>
      </w:r>
    </w:p>
    <w:p w14:paraId="7F8CBD62">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1) Тренинг «Логической визуализации» структуры выступления</w:t>
      </w:r>
    </w:p>
    <w:p w14:paraId="2DE04D1A">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 xml:space="preserve">Данный прием нацелен главным образом на проблемы макроструктурного уровня — нарушение логики. Идея приема заключается в трансформации стандартной структуры русского академического доклада в визуализированные «логические карточки» или «шаблоны интеллект-карт». Данный дизайн заимствует концепцию «педагогической поддержки» (scaffolding) из теории конструктивизма и направлен на предоставление структурированной помощи для постепенного формирования у студентов способности самостоятельно организовывать академическое выступление. </w:t>
      </w:r>
    </w:p>
    <w:p w14:paraId="6604BB1C">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 xml:space="preserve">В процессе реализации студентам предлагаются универсальные «каркасные» фразы для академического доклада, например: </w:t>
      </w:r>
      <w:r>
        <w:rPr>
          <w:rFonts w:ascii="Times New Roman" w:hAnsi="Times New Roman" w:cs="Times New Roman"/>
          <w:i/>
          <w:iCs/>
          <w:sz w:val="24"/>
          <w:szCs w:val="24"/>
          <w:lang w:val="ru-RU"/>
        </w:rPr>
        <w:t>Объектом данного исследования является...</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Результаты эксперимента показали, что...</w:t>
      </w:r>
      <w:r>
        <w:rPr>
          <w:rFonts w:ascii="Times New Roman" w:hAnsi="Times New Roman" w:cs="Times New Roman"/>
          <w:sz w:val="24"/>
          <w:szCs w:val="24"/>
          <w:lang w:val="ru-RU"/>
        </w:rPr>
        <w:t xml:space="preserve">, на основе которых студенты могут вписать содержание своего исследования в шаблон и трансформировать его в жанр устного выступления без опоры на полный текст. </w:t>
      </w:r>
    </w:p>
    <w:p w14:paraId="5B9A49F8">
      <w:pPr>
        <w:keepNext w:val="0"/>
        <w:keepLines w:val="0"/>
        <w:pageBreakBefore w:val="0"/>
        <w:widowControl w:val="0"/>
        <w:numPr>
          <w:ilvl w:val="0"/>
          <w:numId w:val="1"/>
        </w:numPr>
        <w:kinsoku/>
        <w:wordWrap/>
        <w:overflowPunct/>
        <w:topLinePunct w:val="0"/>
        <w:autoSpaceDE/>
        <w:autoSpaceDN/>
        <w:bidi w:val="0"/>
        <w:adjustRightInd/>
        <w:snapToGrid/>
        <w:ind w:left="420" w:leftChars="0" w:firstLine="397"/>
        <w:textAlignment w:val="auto"/>
        <w:rPr>
          <w:rFonts w:ascii="Times New Roman" w:hAnsi="Times New Roman" w:cs="Times New Roman"/>
          <w:sz w:val="24"/>
          <w:szCs w:val="24"/>
          <w:lang w:val="ru-RU"/>
        </w:rPr>
      </w:pPr>
      <w:r>
        <w:rPr>
          <w:rFonts w:ascii="Times New Roman" w:hAnsi="Times New Roman" w:cs="Times New Roman"/>
          <w:sz w:val="24"/>
          <w:szCs w:val="24"/>
          <w:lang w:val="ru-RU"/>
        </w:rPr>
        <w:t>Игровой воркшоп «Лексический супермаркет»</w:t>
      </w:r>
    </w:p>
    <w:p w14:paraId="768BD4F4">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Идея приема заключается в системном выделении и классификации высокочастотных функциональных блоков, используемых в русском академическом докладе, и их оформлении в виде «лексических карточек», которые студенты могут выбирать и комбинировать.</w:t>
      </w:r>
    </w:p>
    <w:p w14:paraId="01EC6730">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В реализации можно выделить два ключевых этапа: «Закупка» (выбор из набора карточек блоков, подходящих для конкретного доклада) и «Замена» (работа в парах, где один из студентов излагает свою точку зрения, а другой выражает согласие, дополнение или вежливое возражение, постепенно внедряя новые лексические блоки из имеющихся).</w:t>
      </w:r>
    </w:p>
    <w:p w14:paraId="1B4484AE">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3) «Стресс-тест» в форме симулированной защиты (диспута)</w:t>
      </w:r>
    </w:p>
    <w:p w14:paraId="43D373D1">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 xml:space="preserve">Третий прием направлен на проблемы микроуровня взаимодействия — коммуникативные блокировки и психологическое напряжение. </w:t>
      </w:r>
    </w:p>
    <w:p w14:paraId="0E859024">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В реализации целесообразно выделить три ключевых этапа:</w:t>
      </w:r>
    </w:p>
    <w:p w14:paraId="3F9E0D4A">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 xml:space="preserve">Ролевая игра. Группа делится на «докладчиков» и «экспертную комиссию (рецензентов)», задача которой — задавать острые, даже неожиданные вопросы. </w:t>
      </w:r>
    </w:p>
    <w:p w14:paraId="2F705FED">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«Зеркальная» обратная связь. Весь процесс записывается на видео. Сразу после доклада воспроизводится запись сессии вопросов и ответов, чтобы студенты могли наблюдать за своей мимикой, тоном, скоростью реакции в момент столкновения с неожиданным вопросом. Преподаватель помогает студентам совместно проанализировать, какие стратегии были эффективны (например, попросить повторить).</w:t>
      </w:r>
    </w:p>
    <w:p w14:paraId="1C509B30">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«Инструментальный ящик стратегий». Преподаватель предоставляет набор экстренных речевых средств на русском языке, систематически отрабатывая такие фразы, как «Извините, не могли бы вы повторить вопрос?». Эти выражения также являются высокочастотными блоками, извлеченными из русской академической коммуникации, и помогают студентам сохранять беглость речи даже в стрессовых ситуациях.</w:t>
      </w:r>
    </w:p>
    <w:p w14:paraId="73B4E6D4">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Благодаря целенаправленной практике и «зеркальной» обратной связи, происходит улучшение метакогнитивных способностей студентов и их навыков реагирования в реальном времени, что позволяет им справляться с неожиданными ситуациями в реальном академическом общении и на практике осуществить переход от заучивания текста к изложению своих мыслей.</w:t>
      </w:r>
    </w:p>
    <w:p w14:paraId="279E5C42">
      <w:pPr>
        <w:keepNext w:val="0"/>
        <w:keepLines w:val="0"/>
        <w:pageBreakBefore w:val="0"/>
        <w:widowControl w:val="0"/>
        <w:kinsoku/>
        <w:wordWrap/>
        <w:overflowPunct/>
        <w:topLinePunct w:val="0"/>
        <w:autoSpaceDE/>
        <w:autoSpaceDN/>
        <w:bidi w:val="0"/>
        <w:adjustRightInd/>
        <w:snapToGrid/>
        <w:ind w:firstLine="397"/>
        <w:textAlignment w:val="auto"/>
        <w:rPr>
          <w:rFonts w:ascii="Times New Roman" w:hAnsi="Times New Roman" w:cs="Times New Roman"/>
          <w:sz w:val="24"/>
          <w:szCs w:val="24"/>
          <w:lang w:val="ru-RU"/>
        </w:rPr>
      </w:pPr>
    </w:p>
    <w:p w14:paraId="3E45E5F0">
      <w:pPr>
        <w:keepNext w:val="0"/>
        <w:keepLines w:val="0"/>
        <w:pageBreakBefore w:val="0"/>
        <w:widowControl w:val="0"/>
        <w:kinsoku/>
        <w:wordWrap/>
        <w:overflowPunct/>
        <w:topLinePunct w:val="0"/>
        <w:autoSpaceDE/>
        <w:autoSpaceDN/>
        <w:bidi w:val="0"/>
        <w:adjustRightInd/>
        <w:snapToGrid/>
        <w:ind w:firstLine="397" w:firstLineChars="0"/>
        <w:jc w:val="center"/>
        <w:textAlignment w:val="auto"/>
        <w:rPr>
          <w:rFonts w:ascii="Times New Roman" w:hAnsi="Times New Roman" w:cs="Times New Roman"/>
          <w:sz w:val="24"/>
          <w:szCs w:val="24"/>
          <w:lang w:val="ru-RU"/>
        </w:rPr>
      </w:pPr>
      <w:r>
        <w:rPr>
          <w:rFonts w:ascii="Times New Roman" w:hAnsi="Times New Roman" w:cs="Times New Roman"/>
          <w:sz w:val="24"/>
          <w:szCs w:val="24"/>
          <w:lang w:val="ru-RU"/>
        </w:rPr>
        <w:t>Литература</w:t>
      </w:r>
    </w:p>
    <w:p w14:paraId="79AA2455">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1. Рассказова С. Ю. Путь к пониманию: активные методы обучения на уроках РКИ // Педагогика и просвещение. – 2025. – № 2. – С. 115-120.</w:t>
      </w:r>
    </w:p>
    <w:p w14:paraId="37463455">
      <w:pPr>
        <w:keepNext w:val="0"/>
        <w:keepLines w:val="0"/>
        <w:pageBreakBefore w:val="0"/>
        <w:widowControl w:val="0"/>
        <w:kinsoku/>
        <w:wordWrap/>
        <w:overflowPunct/>
        <w:topLinePunct w:val="0"/>
        <w:autoSpaceDE/>
        <w:autoSpaceDN/>
        <w:bidi w:val="0"/>
        <w:adjustRightInd/>
        <w:snapToGrid/>
        <w:ind w:firstLine="397" w:firstLineChars="0"/>
        <w:textAlignment w:val="auto"/>
        <w:rPr>
          <w:rFonts w:ascii="Times New Roman" w:hAnsi="Times New Roman" w:cs="Times New Roman"/>
          <w:sz w:val="24"/>
          <w:szCs w:val="24"/>
          <w:lang w:val="ru-RU"/>
        </w:rPr>
      </w:pPr>
      <w:r>
        <w:rPr>
          <w:rFonts w:ascii="Times New Roman" w:hAnsi="Times New Roman" w:cs="Times New Roman"/>
          <w:sz w:val="24"/>
          <w:szCs w:val="24"/>
          <w:lang w:val="ru-RU"/>
        </w:rPr>
        <w:t xml:space="preserve">2. Эндресен А., Жукова В. Конструкционный подход к оценке уровня владения русским языком как иностранным // Новые направления в прикладной лингвистике. – Routledge, 2025. – С. </w:t>
      </w:r>
      <w:r>
        <w:rPr>
          <w:rFonts w:hint="eastAsia" w:ascii="Times New Roman" w:hAnsi="Times New Roman" w:cs="Times New Roman"/>
          <w:sz w:val="24"/>
          <w:szCs w:val="24"/>
          <w:lang w:val="ru-RU"/>
        </w:rPr>
        <w:t>82-97</w:t>
      </w:r>
      <w:r>
        <w:rPr>
          <w:rFonts w:ascii="Times New Roman" w:hAnsi="Times New Roman" w:cs="Times New Roman"/>
          <w:sz w:val="24"/>
          <w:szCs w:val="24"/>
          <w:lang w:val="ru-RU"/>
        </w:rPr>
        <w:t>.</w:t>
      </w:r>
    </w:p>
    <w:sectPr>
      <w:pgSz w:w="11906" w:h="16838"/>
      <w:pgMar w:top="1134" w:right="1361" w:bottom="1134" w:left="136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273C2"/>
    <w:multiLevelType w:val="singleLevel"/>
    <w:tmpl w:val="526273C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2"/>
  </w:compat>
  <w:rsids>
    <w:rsidRoot w:val="00172A27"/>
    <w:rsid w:val="00025163"/>
    <w:rsid w:val="0003076C"/>
    <w:rsid w:val="000322AD"/>
    <w:rsid w:val="00047914"/>
    <w:rsid w:val="000A050C"/>
    <w:rsid w:val="00172A27"/>
    <w:rsid w:val="001F6725"/>
    <w:rsid w:val="00205CC3"/>
    <w:rsid w:val="0025118F"/>
    <w:rsid w:val="002A610D"/>
    <w:rsid w:val="00312383"/>
    <w:rsid w:val="003F1616"/>
    <w:rsid w:val="004207E6"/>
    <w:rsid w:val="004F4AD2"/>
    <w:rsid w:val="00580373"/>
    <w:rsid w:val="005C0D32"/>
    <w:rsid w:val="005E5F49"/>
    <w:rsid w:val="00632141"/>
    <w:rsid w:val="00656038"/>
    <w:rsid w:val="006C543C"/>
    <w:rsid w:val="0070005C"/>
    <w:rsid w:val="00745262"/>
    <w:rsid w:val="007D0348"/>
    <w:rsid w:val="008560FA"/>
    <w:rsid w:val="00886D46"/>
    <w:rsid w:val="008B06FD"/>
    <w:rsid w:val="009156BE"/>
    <w:rsid w:val="009302ED"/>
    <w:rsid w:val="009A081F"/>
    <w:rsid w:val="009C3F8D"/>
    <w:rsid w:val="009E4DA3"/>
    <w:rsid w:val="00AB66C7"/>
    <w:rsid w:val="00AC62D2"/>
    <w:rsid w:val="00B3594A"/>
    <w:rsid w:val="00B378FE"/>
    <w:rsid w:val="00B37CA9"/>
    <w:rsid w:val="00B40B2D"/>
    <w:rsid w:val="00B74CA7"/>
    <w:rsid w:val="00B77F86"/>
    <w:rsid w:val="00BF4632"/>
    <w:rsid w:val="00CE4500"/>
    <w:rsid w:val="00DB3E4D"/>
    <w:rsid w:val="00DE1AB5"/>
    <w:rsid w:val="00E1201E"/>
    <w:rsid w:val="00E4794A"/>
    <w:rsid w:val="00F32306"/>
    <w:rsid w:val="00F47BAA"/>
    <w:rsid w:val="00F977CB"/>
    <w:rsid w:val="02EF66CB"/>
    <w:rsid w:val="05CD5D86"/>
    <w:rsid w:val="06A20FC1"/>
    <w:rsid w:val="070B300A"/>
    <w:rsid w:val="073C7668"/>
    <w:rsid w:val="07683FB9"/>
    <w:rsid w:val="07B92F67"/>
    <w:rsid w:val="0A634F0B"/>
    <w:rsid w:val="0B4F3BCF"/>
    <w:rsid w:val="0C7E54E8"/>
    <w:rsid w:val="0DB066B9"/>
    <w:rsid w:val="0DD5468C"/>
    <w:rsid w:val="0EEE56EB"/>
    <w:rsid w:val="0FF7237E"/>
    <w:rsid w:val="10D206F5"/>
    <w:rsid w:val="12096398"/>
    <w:rsid w:val="14643D5A"/>
    <w:rsid w:val="15354147"/>
    <w:rsid w:val="155E69FB"/>
    <w:rsid w:val="166E1D75"/>
    <w:rsid w:val="191500D7"/>
    <w:rsid w:val="19EB461F"/>
    <w:rsid w:val="1AD339E7"/>
    <w:rsid w:val="1BAA7390"/>
    <w:rsid w:val="1BAB4AC5"/>
    <w:rsid w:val="1BD16179"/>
    <w:rsid w:val="1D526E45"/>
    <w:rsid w:val="1D6628F1"/>
    <w:rsid w:val="20621A95"/>
    <w:rsid w:val="2099191B"/>
    <w:rsid w:val="21470C8B"/>
    <w:rsid w:val="24466FD8"/>
    <w:rsid w:val="24577437"/>
    <w:rsid w:val="24761137"/>
    <w:rsid w:val="248913B7"/>
    <w:rsid w:val="25B763DF"/>
    <w:rsid w:val="27624129"/>
    <w:rsid w:val="2A9E191C"/>
    <w:rsid w:val="2AE85674"/>
    <w:rsid w:val="2AF7727E"/>
    <w:rsid w:val="2C1C51EE"/>
    <w:rsid w:val="2C2B789E"/>
    <w:rsid w:val="2CD31625"/>
    <w:rsid w:val="30756EA9"/>
    <w:rsid w:val="307B0E2E"/>
    <w:rsid w:val="319A63F7"/>
    <w:rsid w:val="32384404"/>
    <w:rsid w:val="352D221A"/>
    <w:rsid w:val="37FE1C4C"/>
    <w:rsid w:val="38E54BBA"/>
    <w:rsid w:val="3BB56AC5"/>
    <w:rsid w:val="3C8F37BA"/>
    <w:rsid w:val="3DA07301"/>
    <w:rsid w:val="3F450160"/>
    <w:rsid w:val="3FFA1020"/>
    <w:rsid w:val="412F2E76"/>
    <w:rsid w:val="42E45EE2"/>
    <w:rsid w:val="446472DA"/>
    <w:rsid w:val="44A8366B"/>
    <w:rsid w:val="44DA7F15"/>
    <w:rsid w:val="44EB3558"/>
    <w:rsid w:val="461A28EF"/>
    <w:rsid w:val="49C96BED"/>
    <w:rsid w:val="4C080E93"/>
    <w:rsid w:val="4EA62EA4"/>
    <w:rsid w:val="4F640592"/>
    <w:rsid w:val="4F6E3703"/>
    <w:rsid w:val="50396112"/>
    <w:rsid w:val="53F71F19"/>
    <w:rsid w:val="53FF0DCE"/>
    <w:rsid w:val="545F2329"/>
    <w:rsid w:val="54D264E2"/>
    <w:rsid w:val="55012924"/>
    <w:rsid w:val="551E5284"/>
    <w:rsid w:val="552A00CC"/>
    <w:rsid w:val="566B44F9"/>
    <w:rsid w:val="567D422C"/>
    <w:rsid w:val="570069DF"/>
    <w:rsid w:val="57016C0B"/>
    <w:rsid w:val="589F66DB"/>
    <w:rsid w:val="59992CA5"/>
    <w:rsid w:val="5ACC7530"/>
    <w:rsid w:val="5B4F43E9"/>
    <w:rsid w:val="5BC94C7C"/>
    <w:rsid w:val="5C0A6562"/>
    <w:rsid w:val="5CB62246"/>
    <w:rsid w:val="5E473A9D"/>
    <w:rsid w:val="5E702A95"/>
    <w:rsid w:val="60870181"/>
    <w:rsid w:val="612B1454"/>
    <w:rsid w:val="62652744"/>
    <w:rsid w:val="63F21DB5"/>
    <w:rsid w:val="645760BC"/>
    <w:rsid w:val="65B37C6A"/>
    <w:rsid w:val="66BA2932"/>
    <w:rsid w:val="6C763D3D"/>
    <w:rsid w:val="6CC83FFB"/>
    <w:rsid w:val="6DED0823"/>
    <w:rsid w:val="6E5B2C4D"/>
    <w:rsid w:val="70CE41B5"/>
    <w:rsid w:val="717604C9"/>
    <w:rsid w:val="74B17A6A"/>
    <w:rsid w:val="787E5EB6"/>
    <w:rsid w:val="7CA35EEB"/>
    <w:rsid w:val="7CB71996"/>
    <w:rsid w:val="7E1C7D03"/>
    <w:rsid w:val="7E871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8"/>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9"/>
    <w:semiHidden/>
    <w:unhideWhenUsed/>
    <w:qFormat/>
    <w:uiPriority w:val="99"/>
    <w:rPr>
      <w:sz w:val="20"/>
      <w:szCs w:val="20"/>
    </w:rPr>
  </w:style>
  <w:style w:type="paragraph" w:styleId="12">
    <w:name w:val="Subtitle"/>
    <w:basedOn w:val="1"/>
    <w:next w:val="1"/>
    <w:link w:val="31"/>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3">
    <w:name w:val="Normal (Web)"/>
    <w:basedOn w:val="1"/>
    <w:semiHidden/>
    <w:unhideWhenUsed/>
    <w:qFormat/>
    <w:uiPriority w:val="99"/>
    <w:rPr>
      <w:sz w:val="24"/>
    </w:rPr>
  </w:style>
  <w:style w:type="paragraph" w:styleId="14">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5">
    <w:name w:val="annotation subject"/>
    <w:basedOn w:val="11"/>
    <w:next w:val="11"/>
    <w:link w:val="40"/>
    <w:semiHidden/>
    <w:unhideWhenUsed/>
    <w:qFormat/>
    <w:uiPriority w:val="99"/>
    <w:rPr>
      <w:b/>
      <w:bCs/>
    </w:rPr>
  </w:style>
  <w:style w:type="character" w:styleId="18">
    <w:name w:val="Strong"/>
    <w:basedOn w:val="17"/>
    <w:qFormat/>
    <w:uiPriority w:val="22"/>
    <w:rPr>
      <w:b/>
    </w:rPr>
  </w:style>
  <w:style w:type="character" w:styleId="19">
    <w:name w:val="Emphasis"/>
    <w:basedOn w:val="17"/>
    <w:qFormat/>
    <w:uiPriority w:val="20"/>
    <w:rPr>
      <w:i/>
    </w:rPr>
  </w:style>
  <w:style w:type="character" w:styleId="20">
    <w:name w:val="annotation reference"/>
    <w:basedOn w:val="17"/>
    <w:semiHidden/>
    <w:unhideWhenUsed/>
    <w:qFormat/>
    <w:uiPriority w:val="99"/>
    <w:rPr>
      <w:sz w:val="16"/>
      <w:szCs w:val="16"/>
    </w:rPr>
  </w:style>
  <w:style w:type="character" w:customStyle="1" w:styleId="21">
    <w:name w:val="Заголовок 1 Знак"/>
    <w:basedOn w:val="17"/>
    <w:link w:val="2"/>
    <w:qFormat/>
    <w:uiPriority w:val="9"/>
    <w:rPr>
      <w:rFonts w:asciiTheme="majorHAnsi" w:hAnsiTheme="majorHAnsi" w:eastAsiaTheme="majorEastAsia" w:cstheme="majorBidi"/>
      <w:color w:val="0F4761" w:themeColor="accent1" w:themeShade="BF"/>
      <w:sz w:val="48"/>
      <w:szCs w:val="48"/>
    </w:rPr>
  </w:style>
  <w:style w:type="character" w:customStyle="1" w:styleId="22">
    <w:name w:val="Заголовок 2 Знак"/>
    <w:basedOn w:val="17"/>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23">
    <w:name w:val="Заголовок 3 Знак"/>
    <w:basedOn w:val="17"/>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4">
    <w:name w:val="Заголовок 4 Знак"/>
    <w:basedOn w:val="17"/>
    <w:link w:val="5"/>
    <w:semiHidden/>
    <w:qFormat/>
    <w:uiPriority w:val="9"/>
    <w:rPr>
      <w:rFonts w:cstheme="majorBidi"/>
      <w:color w:val="0F4761" w:themeColor="accent1" w:themeShade="BF"/>
      <w:sz w:val="28"/>
      <w:szCs w:val="28"/>
    </w:rPr>
  </w:style>
  <w:style w:type="character" w:customStyle="1" w:styleId="25">
    <w:name w:val="Заголовок 5 Знак"/>
    <w:basedOn w:val="17"/>
    <w:link w:val="6"/>
    <w:semiHidden/>
    <w:qFormat/>
    <w:uiPriority w:val="9"/>
    <w:rPr>
      <w:rFonts w:cstheme="majorBidi"/>
      <w:color w:val="0F4761" w:themeColor="accent1" w:themeShade="BF"/>
      <w:sz w:val="24"/>
      <w:szCs w:val="24"/>
    </w:rPr>
  </w:style>
  <w:style w:type="character" w:customStyle="1" w:styleId="26">
    <w:name w:val="Заголовок 6 Знак"/>
    <w:basedOn w:val="17"/>
    <w:link w:val="7"/>
    <w:semiHidden/>
    <w:qFormat/>
    <w:uiPriority w:val="9"/>
    <w:rPr>
      <w:rFonts w:cstheme="majorBidi"/>
      <w:b/>
      <w:bCs/>
      <w:color w:val="0F4761" w:themeColor="accent1" w:themeShade="BF"/>
    </w:rPr>
  </w:style>
  <w:style w:type="character" w:customStyle="1" w:styleId="27">
    <w:name w:val="Заголовок 7 Знак"/>
    <w:basedOn w:val="17"/>
    <w:link w:val="8"/>
    <w:semiHidden/>
    <w:qFormat/>
    <w:uiPriority w:val="9"/>
    <w:rPr>
      <w:rFonts w:cstheme="majorBidi"/>
      <w:b/>
      <w:bCs/>
      <w:color w:val="585858" w:themeColor="text1" w:themeTint="A6"/>
    </w:rPr>
  </w:style>
  <w:style w:type="character" w:customStyle="1" w:styleId="28">
    <w:name w:val="Заголовок 8 Знак"/>
    <w:basedOn w:val="17"/>
    <w:link w:val="9"/>
    <w:semiHidden/>
    <w:qFormat/>
    <w:uiPriority w:val="9"/>
    <w:rPr>
      <w:rFonts w:cstheme="majorBidi"/>
      <w:color w:val="585858" w:themeColor="text1" w:themeTint="A6"/>
    </w:rPr>
  </w:style>
  <w:style w:type="character" w:customStyle="1" w:styleId="29">
    <w:name w:val="Заголовок 9 Знак"/>
    <w:basedOn w:val="17"/>
    <w:link w:val="10"/>
    <w:semiHidden/>
    <w:qFormat/>
    <w:uiPriority w:val="9"/>
    <w:rPr>
      <w:rFonts w:eastAsiaTheme="majorEastAsia" w:cstheme="majorBidi"/>
      <w:color w:val="585858" w:themeColor="text1" w:themeTint="A6"/>
    </w:rPr>
  </w:style>
  <w:style w:type="character" w:customStyle="1" w:styleId="30">
    <w:name w:val="Заголовок Знак"/>
    <w:basedOn w:val="17"/>
    <w:link w:val="14"/>
    <w:qFormat/>
    <w:uiPriority w:val="10"/>
    <w:rPr>
      <w:rFonts w:asciiTheme="majorHAnsi" w:hAnsiTheme="majorHAnsi" w:eastAsiaTheme="majorEastAsia" w:cstheme="majorBidi"/>
      <w:spacing w:val="-10"/>
      <w:kern w:val="28"/>
      <w:sz w:val="56"/>
      <w:szCs w:val="56"/>
    </w:rPr>
  </w:style>
  <w:style w:type="character" w:customStyle="1" w:styleId="31">
    <w:name w:val="Подзаголовок Знак"/>
    <w:basedOn w:val="17"/>
    <w:link w:val="12"/>
    <w:qFormat/>
    <w:uiPriority w:val="11"/>
    <w:rPr>
      <w:rFonts w:asciiTheme="majorHAnsi" w:hAnsiTheme="majorHAnsi" w:eastAsiaTheme="majorEastAsia" w:cstheme="majorBidi"/>
      <w:color w:val="585858" w:themeColor="text1" w:themeTint="A6"/>
      <w:spacing w:val="15"/>
      <w:sz w:val="28"/>
      <w:szCs w:val="28"/>
    </w:rPr>
  </w:style>
  <w:style w:type="paragraph" w:styleId="32">
    <w:name w:val="Quote"/>
    <w:basedOn w:val="1"/>
    <w:next w:val="1"/>
    <w:link w:val="33"/>
    <w:qFormat/>
    <w:uiPriority w:val="29"/>
    <w:pPr>
      <w:spacing w:before="160" w:after="160"/>
      <w:jc w:val="center"/>
    </w:pPr>
    <w:rPr>
      <w:i/>
      <w:iCs/>
      <w:color w:val="3F3F3F" w:themeColor="text1" w:themeTint="BF"/>
    </w:rPr>
  </w:style>
  <w:style w:type="character" w:customStyle="1" w:styleId="33">
    <w:name w:val="Цитата 2 Знак"/>
    <w:basedOn w:val="17"/>
    <w:link w:val="32"/>
    <w:qFormat/>
    <w:uiPriority w:val="29"/>
    <w:rPr>
      <w:i/>
      <w:iCs/>
      <w:color w:val="3F3F3F" w:themeColor="text1" w:themeTint="BF"/>
    </w:rPr>
  </w:style>
  <w:style w:type="paragraph" w:styleId="34">
    <w:name w:val="List Paragraph"/>
    <w:basedOn w:val="1"/>
    <w:qFormat/>
    <w:uiPriority w:val="34"/>
    <w:pPr>
      <w:ind w:left="720"/>
      <w:contextualSpacing/>
    </w:pPr>
  </w:style>
  <w:style w:type="character" w:customStyle="1" w:styleId="35">
    <w:name w:val="Сильное выделение1"/>
    <w:basedOn w:val="17"/>
    <w:qFormat/>
    <w:uiPriority w:val="21"/>
    <w:rPr>
      <w:i/>
      <w:iCs/>
      <w:color w:val="0F4761"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7">
    <w:name w:val="Выделенная цитата Знак"/>
    <w:basedOn w:val="17"/>
    <w:link w:val="36"/>
    <w:qFormat/>
    <w:uiPriority w:val="30"/>
    <w:rPr>
      <w:i/>
      <w:iCs/>
      <w:color w:val="0F4761" w:themeColor="accent1" w:themeShade="BF"/>
    </w:rPr>
  </w:style>
  <w:style w:type="character" w:customStyle="1" w:styleId="38">
    <w:name w:val="Сильная ссылка1"/>
    <w:basedOn w:val="17"/>
    <w:qFormat/>
    <w:uiPriority w:val="32"/>
    <w:rPr>
      <w:b/>
      <w:bCs/>
      <w:smallCaps/>
      <w:color w:val="0F4761" w:themeColor="accent1" w:themeShade="BF"/>
      <w:spacing w:val="5"/>
    </w:rPr>
  </w:style>
  <w:style w:type="character" w:customStyle="1" w:styleId="39">
    <w:name w:val="Текст примечания Знак"/>
    <w:basedOn w:val="17"/>
    <w:link w:val="11"/>
    <w:semiHidden/>
    <w:qFormat/>
    <w:uiPriority w:val="99"/>
    <w:rPr>
      <w:rFonts w:asciiTheme="minorHAnsi" w:hAnsiTheme="minorHAnsi" w:eastAsiaTheme="minorEastAsia" w:cstheme="minorBidi"/>
      <w:kern w:val="2"/>
      <w:lang w:val="en-US" w:eastAsia="zh-CN"/>
      <w14:ligatures w14:val="standardContextual"/>
    </w:rPr>
  </w:style>
  <w:style w:type="character" w:customStyle="1" w:styleId="40">
    <w:name w:val="Тема примечания Знак"/>
    <w:basedOn w:val="39"/>
    <w:link w:val="15"/>
    <w:semiHidden/>
    <w:qFormat/>
    <w:uiPriority w:val="99"/>
    <w:rPr>
      <w:rFonts w:asciiTheme="minorHAnsi" w:hAnsiTheme="minorHAnsi" w:eastAsiaTheme="minorEastAsia" w:cstheme="minorBidi"/>
      <w:b/>
      <w:bCs/>
      <w:kern w:val="2"/>
      <w:lang w:val="en-US" w:eastAsia="zh-CN"/>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716</Words>
  <Characters>5343</Characters>
  <Lines>50</Lines>
  <Paragraphs>14</Paragraphs>
  <TotalTime>730</TotalTime>
  <ScaleCrop>false</ScaleCrop>
  <LinksUpToDate>false</LinksUpToDate>
  <CharactersWithSpaces>6042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2025-11-03T15:46:00Z</dcterms:created>
  <dc:creator>月 张</dc:creator>
  <cp:lastModifiedBy>哈yy</cp:lastModifiedBy>
  <dcterms:modified xsi:type="dcterms:W3CDTF">2026-03-09T09:14:40Z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eyJoZGlkIjoiODViY2JkMjU3NGYzZTEwMzZmMGFkZWViYmNkYWU3NDIiLCJ1c2VySWQiOiI0MDA3ODY5MzIifQ==</vt:lpwstr>
  </property>
  <property fmtid="{D5CDD505-2E9C-101B-9397-08002B2CF9AE}" pid="3" name="KSOProductBuildVer">
    <vt:lpwstr>2052-12.1.0.24034</vt:lpwstr>
  </property>
  <property fmtid="{D5CDD505-2E9C-101B-9397-08002B2CF9AE}" pid="4" name="ICV">
    <vt:lpwstr>665750D38D8A4CC188A96C3CFDB7E7CD_12</vt:lpwstr>
  </property>
</Properties>
</file>